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3377" w14:textId="77777777" w:rsidR="00622C4D" w:rsidRDefault="00622C4D" w:rsidP="00622C4D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381"/>
        <w:gridCol w:w="847"/>
        <w:gridCol w:w="180"/>
        <w:gridCol w:w="720"/>
        <w:gridCol w:w="1841"/>
        <w:gridCol w:w="553"/>
        <w:gridCol w:w="990"/>
        <w:gridCol w:w="1984"/>
      </w:tblGrid>
      <w:tr w:rsidR="00622C4D" w14:paraId="66AED174" w14:textId="77777777" w:rsidTr="00622C4D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FBC5252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622C4D" w:rsidRPr="00EF57E7" w14:paraId="13507666" w14:textId="77777777" w:rsidTr="00622C4D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BA63BC9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622C4D" w14:paraId="720BEA3B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0DADB82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723C366" w14:textId="77777777" w:rsidR="00622C4D" w:rsidRPr="009F6800" w:rsidRDefault="00622C4D" w:rsidP="00520451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9F6800">
              <w:rPr>
                <w:rFonts w:ascii="Open Sans" w:hAnsi="Open Sans" w:cs="Open Sans"/>
                <w:sz w:val="24"/>
              </w:rPr>
              <w:t>SCALE SAFE</w:t>
            </w:r>
          </w:p>
        </w:tc>
      </w:tr>
      <w:tr w:rsidR="00622C4D" w14:paraId="6E186A90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E25D2E4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C185F9A" w14:textId="77777777" w:rsidR="00622C4D" w:rsidRPr="009F6800" w:rsidRDefault="00622C4D" w:rsidP="00097D98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9F6800">
              <w:rPr>
                <w:rFonts w:ascii="Open Sans" w:hAnsi="Open Sans" w:cs="Open Sans"/>
                <w:b w:val="0"/>
                <w:sz w:val="24"/>
              </w:rPr>
              <w:t>K</w:t>
            </w:r>
            <w:r w:rsidR="00097D98" w:rsidRPr="009F6800">
              <w:rPr>
                <w:rFonts w:ascii="Open Sans" w:hAnsi="Open Sans" w:cs="Open Sans"/>
                <w:b w:val="0"/>
                <w:sz w:val="24"/>
              </w:rPr>
              <w:t>em</w:t>
            </w:r>
          </w:p>
        </w:tc>
      </w:tr>
      <w:tr w:rsidR="00622C4D" w14:paraId="64B45691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9BD0B6D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TIPO DE PRODUCTO HIGIENICO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46C2AD8" w14:textId="77777777" w:rsidR="00622C4D" w:rsidRPr="009F6800" w:rsidRDefault="00622C4D" w:rsidP="00520451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9F6800">
              <w:rPr>
                <w:rFonts w:ascii="Open Sans" w:hAnsi="Open Sans" w:cs="Open Sans"/>
                <w:b w:val="0"/>
                <w:sz w:val="24"/>
              </w:rPr>
              <w:t xml:space="preserve">Limpiador </w:t>
            </w:r>
            <w:r w:rsidR="00FD5B31" w:rsidRPr="009F6800">
              <w:rPr>
                <w:rFonts w:ascii="Open Sans" w:hAnsi="Open Sans" w:cs="Open Sans"/>
                <w:b w:val="0"/>
                <w:sz w:val="24"/>
              </w:rPr>
              <w:t>líquido ácido</w:t>
            </w:r>
          </w:p>
        </w:tc>
      </w:tr>
      <w:tr w:rsidR="00622C4D" w:rsidRPr="00EF57E7" w14:paraId="2B2CE66D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569D80E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8929A0D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bCs/>
                <w:lang w:val="es-CR"/>
              </w:rPr>
            </w:pPr>
            <w:r w:rsidRPr="009F6800">
              <w:rPr>
                <w:rFonts w:ascii="Open Sans" w:hAnsi="Open Sans" w:cs="Open Sans"/>
                <w:b/>
                <w:bCs/>
                <w:lang w:val="es-CR"/>
              </w:rPr>
              <w:t>CORPORACION CEK DE COSTA RICA, S.A.</w:t>
            </w:r>
          </w:p>
        </w:tc>
      </w:tr>
      <w:tr w:rsidR="00622C4D" w:rsidRPr="00EF57E7" w14:paraId="3C7A8A53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490A741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6C6D69A3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EF03DA" w:rsidRPr="009F6800">
              <w:rPr>
                <w:rFonts w:ascii="Open Sans" w:hAnsi="Open Sans" w:cs="Open Sans"/>
                <w:lang w:val="es-CR"/>
              </w:rPr>
              <w:t>Tibás</w:t>
            </w:r>
            <w:r w:rsidRPr="009F6800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622C4D" w14:paraId="033B43B0" w14:textId="77777777" w:rsidTr="00622C4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4197296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F4DB591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622C4D" w14:paraId="012DD8EA" w14:textId="77777777" w:rsidTr="00B13150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3A05968" w14:textId="77777777" w:rsidR="00622C4D" w:rsidRPr="009F6800" w:rsidRDefault="00622C4D" w:rsidP="00520451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0992B38B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5BFE8DEC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F9779F0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622C4D" w14:paraId="69AB904C" w14:textId="77777777" w:rsidTr="00B13150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56E72BA0" w14:textId="77777777" w:rsidR="00622C4D" w:rsidRPr="009F6800" w:rsidRDefault="00622C4D" w:rsidP="00520451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8"/>
            <w:shd w:val="clear" w:color="000000" w:fill="FFFFFF"/>
          </w:tcPr>
          <w:p w14:paraId="7D816FD1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911</w:t>
            </w:r>
            <w:r w:rsidR="005932BB" w:rsidRPr="009F6800">
              <w:rPr>
                <w:rFonts w:ascii="Open Sans" w:hAnsi="Open Sans" w:cs="Open Sans"/>
                <w:lang w:val="es-CR"/>
              </w:rPr>
              <w:t xml:space="preserve">/ </w:t>
            </w:r>
            <w:r w:rsidRPr="009F6800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622C4D" w14:paraId="7F238EC3" w14:textId="77777777" w:rsidTr="00622C4D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75CB98AF" w14:textId="77777777" w:rsidR="00622C4D" w:rsidRPr="009F6800" w:rsidRDefault="00622C4D" w:rsidP="00520451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9F6800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EAD730D" w14:textId="3F302B16" w:rsidR="00622C4D" w:rsidRPr="009F6800" w:rsidRDefault="007A32E1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0</w:t>
            </w:r>
            <w:r w:rsidR="007300A9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color w:val="000000"/>
                <w:lang w:val="es-CR"/>
              </w:rPr>
              <w:t>Ene</w:t>
            </w:r>
            <w:r w:rsidR="00036C9B">
              <w:rPr>
                <w:rFonts w:ascii="Open Sans" w:hAnsi="Open Sans" w:cs="Open Sans"/>
                <w:b/>
                <w:color w:val="000000"/>
                <w:lang w:val="es-CR"/>
              </w:rPr>
              <w:t>2</w:t>
            </w:r>
            <w:r w:rsidR="005219F3">
              <w:rPr>
                <w:rFonts w:ascii="Open Sans" w:hAnsi="Open Sans" w:cs="Open Sans"/>
                <w:b/>
                <w:color w:val="000000"/>
                <w:lang w:val="es-CR"/>
              </w:rPr>
              <w:t>5</w:t>
            </w:r>
          </w:p>
        </w:tc>
      </w:tr>
      <w:tr w:rsidR="00622C4D" w14:paraId="438A4015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228D544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22C4D" w14:paraId="2B15B36D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9C9502E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622C4D" w:rsidRPr="00622C4D" w14:paraId="67460307" w14:textId="77777777" w:rsidTr="00622C4D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7A9137B5" w14:textId="77777777" w:rsidR="00622C4D" w:rsidRPr="009F6800" w:rsidRDefault="00622C4D" w:rsidP="00520451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30131629" w14:textId="77777777" w:rsidR="00622C4D" w:rsidRPr="009F6800" w:rsidRDefault="00622C4D" w:rsidP="00520451">
            <w:pPr>
              <w:rPr>
                <w:rFonts w:ascii="Open Sans" w:hAnsi="Open Sans" w:cs="Open Sans"/>
                <w:bCs/>
                <w:lang w:val="es-CR"/>
              </w:rPr>
            </w:pPr>
            <w:r w:rsidRPr="009F6800">
              <w:rPr>
                <w:rFonts w:ascii="Open Sans" w:hAnsi="Open Sans" w:cs="Open Sans"/>
                <w:bCs/>
                <w:lang w:val="es-CR"/>
              </w:rPr>
              <w:t xml:space="preserve">8. Corrosivos </w:t>
            </w:r>
          </w:p>
        </w:tc>
      </w:tr>
      <w:tr w:rsidR="00622C4D" w:rsidRPr="00622C4D" w14:paraId="02BD874E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3EEFF1C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622C4D" w:rsidRPr="00EF57E7" w14:paraId="5B6DF32E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BFC5C4E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622C4D" w14:paraId="02A8EBEE" w14:textId="77777777" w:rsidTr="005932BB">
        <w:trPr>
          <w:cantSplit/>
          <w:jc w:val="center"/>
        </w:trPr>
        <w:tc>
          <w:tcPr>
            <w:tcW w:w="7929" w:type="dxa"/>
            <w:gridSpan w:val="8"/>
            <w:shd w:val="clear" w:color="000000" w:fill="FFFFFF"/>
          </w:tcPr>
          <w:p w14:paraId="24170A33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22EEFBE1" w14:textId="77777777" w:rsidR="00622C4D" w:rsidRPr="009F6800" w:rsidRDefault="00622C4D" w:rsidP="005932BB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%</w:t>
            </w:r>
            <w:r w:rsidRPr="009F6800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541A6CD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22C4D" w14:paraId="77487E80" w14:textId="77777777" w:rsidTr="005932BB">
        <w:trPr>
          <w:cantSplit/>
          <w:jc w:val="center"/>
        </w:trPr>
        <w:tc>
          <w:tcPr>
            <w:tcW w:w="7929" w:type="dxa"/>
            <w:gridSpan w:val="8"/>
            <w:shd w:val="clear" w:color="000000" w:fill="FFFFFF"/>
          </w:tcPr>
          <w:p w14:paraId="256FBAB1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Ácido fosfórico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4A59D8BE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20 – 30 </w:t>
            </w:r>
          </w:p>
        </w:tc>
        <w:tc>
          <w:tcPr>
            <w:tcW w:w="1984" w:type="dxa"/>
            <w:shd w:val="clear" w:color="000000" w:fill="FFFFFF"/>
          </w:tcPr>
          <w:p w14:paraId="73DCC397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7664-38-2</w:t>
            </w:r>
          </w:p>
        </w:tc>
      </w:tr>
      <w:tr w:rsidR="00622C4D" w14:paraId="47C76FC5" w14:textId="77777777" w:rsidTr="005932BB">
        <w:trPr>
          <w:cantSplit/>
          <w:jc w:val="center"/>
        </w:trPr>
        <w:tc>
          <w:tcPr>
            <w:tcW w:w="7929" w:type="dxa"/>
            <w:gridSpan w:val="8"/>
            <w:shd w:val="clear" w:color="000000" w:fill="FFFFFF"/>
          </w:tcPr>
          <w:p w14:paraId="3329DE13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Ácido hidroxiacético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68395631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5 – 10</w:t>
            </w:r>
          </w:p>
        </w:tc>
        <w:tc>
          <w:tcPr>
            <w:tcW w:w="1984" w:type="dxa"/>
            <w:shd w:val="clear" w:color="000000" w:fill="FFFFFF"/>
          </w:tcPr>
          <w:p w14:paraId="7AAC8717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79-14-1</w:t>
            </w:r>
          </w:p>
        </w:tc>
      </w:tr>
      <w:tr w:rsidR="00622C4D" w14:paraId="1EC7DDC1" w14:textId="77777777" w:rsidTr="005932BB">
        <w:trPr>
          <w:cantSplit/>
          <w:jc w:val="center"/>
        </w:trPr>
        <w:tc>
          <w:tcPr>
            <w:tcW w:w="7929" w:type="dxa"/>
            <w:gridSpan w:val="8"/>
            <w:shd w:val="clear" w:color="000000" w:fill="FFFFFF"/>
          </w:tcPr>
          <w:p w14:paraId="4917C07E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Ácido clorhídrico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2F407924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1 – 10</w:t>
            </w:r>
          </w:p>
        </w:tc>
        <w:tc>
          <w:tcPr>
            <w:tcW w:w="1984" w:type="dxa"/>
            <w:shd w:val="clear" w:color="000000" w:fill="FFFFFF"/>
          </w:tcPr>
          <w:p w14:paraId="57742BF9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7647-01-0</w:t>
            </w:r>
          </w:p>
        </w:tc>
      </w:tr>
      <w:tr w:rsidR="00622C4D" w14:paraId="4519A1B2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492F6F9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622C4D" w:rsidRPr="00EF57E7" w14:paraId="2478A539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35D1198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622C4D" w14:paraId="726B3B62" w14:textId="77777777" w:rsidTr="00622C4D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43674D9B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D18FB3D" w14:textId="77777777" w:rsidR="00622C4D" w:rsidRPr="009F6800" w:rsidRDefault="00622C4D" w:rsidP="005204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22C4D" w:rsidRPr="00622C4D" w14:paraId="4BF28D4B" w14:textId="77777777" w:rsidTr="00622C4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6D211EB" w14:textId="77777777" w:rsidR="00622C4D" w:rsidRPr="009F6800" w:rsidRDefault="00622C4D" w:rsidP="00520451">
            <w:pPr>
              <w:pStyle w:val="Ttulo7"/>
              <w:rPr>
                <w:rFonts w:ascii="Open Sans" w:hAnsi="Open Sans" w:cs="Open Sans"/>
              </w:rPr>
            </w:pPr>
            <w:r w:rsidRPr="009F6800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4062CD4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La inhalación puede causar irritación o corrosión en el sistema respiratorio, incluyendo nariz, boca y garganta. Irritación en los pulmones y edema pulmonar.</w:t>
            </w:r>
          </w:p>
        </w:tc>
      </w:tr>
      <w:tr w:rsidR="00622C4D" w:rsidRPr="00EF57E7" w14:paraId="6C71A52D" w14:textId="77777777" w:rsidTr="00622C4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33234CA4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C3FF39C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Causa irritación y quemaduras en la boca, garganta y estómago. Puede ser fatal si se ingiere.  </w:t>
            </w:r>
          </w:p>
        </w:tc>
      </w:tr>
      <w:tr w:rsidR="00622C4D" w:rsidRPr="00EF57E7" w14:paraId="14BA8571" w14:textId="77777777" w:rsidTr="00622C4D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5EDA92C7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023DB7A2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El contacto causa irritación en los ojos, quemaduras, ceguera.</w:t>
            </w:r>
          </w:p>
        </w:tc>
      </w:tr>
      <w:tr w:rsidR="00622C4D" w:rsidRPr="00EF57E7" w14:paraId="5640FA22" w14:textId="77777777" w:rsidTr="00622C4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529DED62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0FA8B553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Corrosivo. Causa quemaduras en la piel.</w:t>
            </w:r>
          </w:p>
        </w:tc>
      </w:tr>
      <w:tr w:rsidR="00622C4D" w:rsidRPr="00DD3408" w14:paraId="675064F0" w14:textId="77777777" w:rsidTr="00622C4D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15C8C10C" w14:textId="77777777" w:rsidR="00622C4D" w:rsidRPr="009F6800" w:rsidRDefault="00622C4D" w:rsidP="00520451">
            <w:pPr>
              <w:pStyle w:val="Ttulo7"/>
              <w:rPr>
                <w:rFonts w:ascii="Open Sans" w:hAnsi="Open Sans" w:cs="Open Sans"/>
              </w:rPr>
            </w:pPr>
            <w:r w:rsidRPr="009F6800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1A2A2E7" w14:textId="77777777" w:rsidR="00622C4D" w:rsidRPr="009F6800" w:rsidRDefault="00622C4D" w:rsidP="00DD340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Pr="009F6800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22C4D" w:rsidRPr="00DD3408" w14:paraId="61D4984C" w14:textId="77777777" w:rsidTr="00622C4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123D300B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068DC34" w14:textId="77777777" w:rsidR="00622C4D" w:rsidRPr="009F6800" w:rsidRDefault="00622C4D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Pr="009F6800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22C4D" w:rsidRPr="00DD3408" w14:paraId="2BA2CBBC" w14:textId="77777777" w:rsidTr="00622C4D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33E37A8B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8E105A8" w14:textId="77777777" w:rsidR="00622C4D" w:rsidRPr="009F6800" w:rsidRDefault="00622C4D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DD3408" w14:paraId="3383EA1C" w14:textId="77777777" w:rsidTr="00622C4D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1F6EACA3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3E1ABAC" w14:textId="77777777" w:rsidR="00622C4D" w:rsidRPr="009F6800" w:rsidRDefault="00622C4D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</w:t>
            </w:r>
            <w:r w:rsidR="005502AA" w:rsidRPr="009F6800">
              <w:rPr>
                <w:rFonts w:ascii="Open Sans" w:hAnsi="Open Sans" w:cs="Open Sans"/>
                <w:lang w:val="es-CR"/>
              </w:rPr>
              <w:t xml:space="preserve">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DD3408" w14:paraId="126587C9" w14:textId="77777777" w:rsidTr="00622C4D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66B8FB20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186FB5A" w14:textId="77777777" w:rsidR="00622C4D" w:rsidRPr="009F6800" w:rsidRDefault="00622C4D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622C4D" w14:paraId="6158455B" w14:textId="77777777" w:rsidTr="00622C4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5C16E68F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597F328" w14:textId="77777777" w:rsidR="00622C4D" w:rsidRPr="009F6800" w:rsidRDefault="00DD3408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aplica</w:t>
            </w:r>
            <w:r w:rsidR="00622C4D"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EF57E7" w14:paraId="4964BB0A" w14:textId="77777777" w:rsidTr="00622C4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269AFC5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B88C7C5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Piel, ojos, sistema digestivo y respiratorio.</w:t>
            </w:r>
          </w:p>
        </w:tc>
      </w:tr>
      <w:tr w:rsidR="00622C4D" w14:paraId="1457D422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8684CD2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622C4D" w14:paraId="0FDA59BA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871C68A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622C4D" w14:paraId="5E74F505" w14:textId="77777777" w:rsidTr="00622C4D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6B0F3E2" w14:textId="77777777" w:rsidR="00622C4D" w:rsidRPr="009F6800" w:rsidRDefault="00622C4D" w:rsidP="0052045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D89119A" w14:textId="77777777" w:rsidR="00622C4D" w:rsidRPr="009F6800" w:rsidRDefault="00622C4D" w:rsidP="00520451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Enjuagarse con agua por al menos 15 minutos. Obtener atención médica inmediatamente.</w:t>
            </w:r>
          </w:p>
        </w:tc>
      </w:tr>
      <w:tr w:rsidR="00622C4D" w:rsidRPr="00EF57E7" w14:paraId="2CD0E355" w14:textId="77777777" w:rsidTr="00622C4D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7E8A3DF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42E380CC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Lavar inmediatamente el área afectada completamente con agua. Quitarse la ropa y zapatos contaminados. Obtener atención médica. Lavar la ropa contaminada antes de volver a usar.</w:t>
            </w:r>
          </w:p>
        </w:tc>
      </w:tr>
      <w:tr w:rsidR="00622C4D" w:rsidRPr="00622C4D" w14:paraId="5098A807" w14:textId="77777777" w:rsidTr="00622C4D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4AE09D2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3BBA43F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Lleve a la persona afectada a un lugar donde pueda respirar aire fresco. Obtener atención médica.</w:t>
            </w:r>
          </w:p>
        </w:tc>
      </w:tr>
      <w:tr w:rsidR="00622C4D" w:rsidRPr="00EF57E7" w14:paraId="3ADC3137" w14:textId="77777777" w:rsidTr="00622C4D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B72F5A7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5446CABA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Dar a tomar gran cantidad de agua o leche. Nunca dar algo por la boca a una persona inconsciente.</w:t>
            </w:r>
          </w:p>
        </w:tc>
      </w:tr>
      <w:tr w:rsidR="00622C4D" w:rsidRPr="00EF57E7" w14:paraId="352DF7A8" w14:textId="77777777" w:rsidTr="00622C4D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C58D72F" w14:textId="77777777" w:rsidR="00622C4D" w:rsidRPr="009F6800" w:rsidRDefault="00622C4D" w:rsidP="00520451">
            <w:pPr>
              <w:pStyle w:val="Ttulo8"/>
              <w:rPr>
                <w:rFonts w:ascii="Open Sans" w:hAnsi="Open Sans" w:cs="Open Sans"/>
              </w:rPr>
            </w:pPr>
            <w:r w:rsidRPr="009F6800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6743F57F" w14:textId="77777777" w:rsidR="00622C4D" w:rsidRPr="009F6800" w:rsidRDefault="00622C4D" w:rsidP="00520451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8D2CB5" w:rsidRPr="009F6800">
              <w:rPr>
                <w:rFonts w:ascii="Open Sans" w:hAnsi="Open Sans" w:cs="Open Sans"/>
                <w:lang w:val="es-CR"/>
              </w:rPr>
              <w:t>esta</w:t>
            </w:r>
            <w:r w:rsidRPr="009F6800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622C4D" w14:paraId="13BA7273" w14:textId="77777777" w:rsidTr="00622C4D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F82BECC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9F6800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5DE7EFD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622C4D" w14:paraId="19B2D0A1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2C564A4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622C4D" w14:paraId="53AB206E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BFA7D70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622C4D" w:rsidRPr="00913CF2" w14:paraId="62832997" w14:textId="77777777" w:rsidTr="00622C4D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70807C8" w14:textId="77777777" w:rsidR="00622C4D" w:rsidRPr="009F6800" w:rsidRDefault="00622C4D" w:rsidP="005204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F680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A1F6C1B" w14:textId="77777777" w:rsidR="00622C4D" w:rsidRPr="009F6800" w:rsidRDefault="00DD3408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aplica</w:t>
            </w:r>
            <w:r w:rsidR="00967F5E"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DD3408" w14:paraId="2645BE56" w14:textId="77777777" w:rsidTr="00622C4D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DF6144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00A35EA0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671C957" w14:textId="77777777" w:rsidR="00622C4D" w:rsidRPr="009F6800" w:rsidRDefault="00622C4D" w:rsidP="00DD3408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DD3408" w:rsidRPr="009F6800">
              <w:rPr>
                <w:rFonts w:ascii="Open Sans" w:hAnsi="Open Sans" w:cs="Open Sans"/>
                <w:lang w:val="es-CR"/>
              </w:rPr>
              <w:t>aplica</w:t>
            </w:r>
            <w:r w:rsidR="00967F5E" w:rsidRPr="009F6800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622C4D" w:rsidRPr="00EF57E7" w14:paraId="02CA4221" w14:textId="77777777" w:rsidTr="00622C4D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CA3C344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186FDFB" w14:textId="77777777" w:rsidR="00622C4D" w:rsidRPr="009F6800" w:rsidRDefault="00622C4D" w:rsidP="00520451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Cs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Agua, polvo químico, espuma, dióxido de carbono.</w:t>
            </w:r>
          </w:p>
        </w:tc>
      </w:tr>
      <w:tr w:rsidR="00622C4D" w:rsidRPr="00EF57E7" w14:paraId="4826E1D1" w14:textId="77777777" w:rsidTr="00622C4D">
        <w:trPr>
          <w:cantSplit/>
          <w:trHeight w:val="27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457AB74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2595536" w14:textId="77777777" w:rsidR="00622C4D" w:rsidRPr="009F6800" w:rsidRDefault="00622C4D" w:rsidP="0052045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b w:val="0"/>
                <w:sz w:val="24"/>
                <w:szCs w:val="24"/>
              </w:rPr>
              <w:t xml:space="preserve">Se requiere equipo de protección completo para el personal de bomberos. </w:t>
            </w:r>
          </w:p>
        </w:tc>
      </w:tr>
      <w:tr w:rsidR="00622C4D" w:rsidRPr="00EF57E7" w14:paraId="29E5F974" w14:textId="77777777" w:rsidTr="00622C4D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B1E9AB" w14:textId="77777777" w:rsidR="00622C4D" w:rsidRPr="009F6800" w:rsidRDefault="00622C4D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25DF753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Óxidos de fósforo y gas hidrógeno.</w:t>
            </w:r>
          </w:p>
        </w:tc>
      </w:tr>
      <w:tr w:rsidR="00B13150" w:rsidRPr="005932BB" w14:paraId="66444B24" w14:textId="77777777" w:rsidTr="00B13150">
        <w:trPr>
          <w:cantSplit/>
          <w:trHeight w:val="254"/>
          <w:jc w:val="center"/>
        </w:trPr>
        <w:tc>
          <w:tcPr>
            <w:tcW w:w="11456" w:type="dxa"/>
            <w:gridSpan w:val="11"/>
            <w:shd w:val="clear" w:color="auto" w:fill="D9D9D9" w:themeFill="background1" w:themeFillShade="D9"/>
          </w:tcPr>
          <w:p w14:paraId="769FA9DC" w14:textId="77777777" w:rsidR="00B13150" w:rsidRPr="009F6800" w:rsidRDefault="00B13150" w:rsidP="00B1315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SECCIÓN VII</w:t>
            </w:r>
          </w:p>
        </w:tc>
      </w:tr>
      <w:tr w:rsidR="00B13150" w:rsidRPr="00EF57E7" w14:paraId="5321E51C" w14:textId="77777777" w:rsidTr="00B13150">
        <w:trPr>
          <w:cantSplit/>
          <w:trHeight w:val="259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5038568" w14:textId="77777777" w:rsidR="00B13150" w:rsidRPr="009F6800" w:rsidRDefault="00B13150" w:rsidP="00B13150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B13150" w:rsidRPr="00EF57E7" w14:paraId="201E9D78" w14:textId="77777777" w:rsidTr="00B13150">
        <w:trPr>
          <w:cantSplit/>
          <w:trHeight w:val="259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65F4673" w14:textId="77777777" w:rsidR="00B13150" w:rsidRPr="009F6800" w:rsidRDefault="00B13150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Ventile el área del derrame. Use equipo de protección adecuado. Mantener el personal sin protección o innecesario fuera del área. Recobrar el material cuando sea posible. Neutralice el área con un material alcalino, entonces absorber con un material inerte y depositar en un recipiente de desechos químicos.  Contenga el derrame o la fuga si esto no representa un riesgo, usando equipo de protección personal y siguiendo las normas de seguridad</w:t>
            </w:r>
          </w:p>
        </w:tc>
      </w:tr>
      <w:tr w:rsidR="00622C4D" w14:paraId="7ABC3E34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18BC974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622C4D" w14:paraId="21B49312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2AB53A5" w14:textId="77777777" w:rsidR="00622C4D" w:rsidRPr="009F6800" w:rsidRDefault="00622C4D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622C4D" w:rsidRPr="00EF57E7" w14:paraId="2F7B160B" w14:textId="77777777" w:rsidTr="00520451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77AE0DF" w14:textId="77777777" w:rsidR="00622C4D" w:rsidRPr="009F6800" w:rsidRDefault="00622C4D" w:rsidP="00520451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011A1DB" w14:textId="77777777" w:rsidR="00622C4D" w:rsidRPr="009F6800" w:rsidRDefault="00DD3408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almacenar a temperaturas mayores a los 30 °C.</w:t>
            </w:r>
          </w:p>
        </w:tc>
      </w:tr>
      <w:tr w:rsidR="00622C4D" w:rsidRPr="00622C4D" w14:paraId="672DF3EA" w14:textId="77777777" w:rsidTr="00520451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09626A" w14:textId="77777777" w:rsidR="00622C4D" w:rsidRPr="009F6800" w:rsidRDefault="00622C4D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3113BC0" w14:textId="77777777" w:rsidR="00622C4D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Mantener lejos del alcance de los niños. Almacenar en un lugar fresco, seco lejos de altas temperaturas y fuentes de calor. No mezclar con otros químicos.</w:t>
            </w:r>
          </w:p>
        </w:tc>
      </w:tr>
      <w:tr w:rsidR="00EF03DA" w:rsidRPr="00622C4D" w14:paraId="59CEF45D" w14:textId="77777777" w:rsidTr="00520451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F33691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5813B5B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Mantener cerrados los recipientes. Evitar el contacto con la piel y ojos. Evitar respirar los vapores.</w:t>
            </w:r>
          </w:p>
        </w:tc>
      </w:tr>
      <w:tr w:rsidR="00EF03DA" w:rsidRPr="00EF57E7" w14:paraId="6AC4EE27" w14:textId="77777777" w:rsidTr="00520451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381799C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923501B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Evitar la exposición a altas temperaturas, llamas, chispas o fuentes de calor. </w:t>
            </w:r>
          </w:p>
        </w:tc>
      </w:tr>
      <w:tr w:rsidR="00EF03DA" w14:paraId="052D9D4C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FF13FE9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F03DA" w:rsidRPr="00EF57E7" w14:paraId="676F581A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1F8234F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EF03DA" w14:paraId="0B938787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593C572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10A84C1" w14:textId="77777777" w:rsidR="00EF03DA" w:rsidRPr="009F6800" w:rsidRDefault="00EF03DA" w:rsidP="00520451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F6800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Usar con adecuada ventilación.</w:t>
            </w:r>
          </w:p>
        </w:tc>
      </w:tr>
      <w:tr w:rsidR="00EF03DA" w:rsidRPr="00EF57E7" w14:paraId="038CE105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5C30E5A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70A5C8A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Si se generan muchos vapores usar un aparato respiratorio con cartucho para gases ácidos.</w:t>
            </w:r>
          </w:p>
        </w:tc>
      </w:tr>
      <w:tr w:rsidR="00EF03DA" w:rsidRPr="00EF57E7" w14:paraId="0658442B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EA129D9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7CF4A0B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Anteojos de seguridad o careta facial completa en caso que puedan ocurrir salpicaduras.</w:t>
            </w:r>
          </w:p>
        </w:tc>
      </w:tr>
      <w:tr w:rsidR="00EF03DA" w:rsidRPr="00622C4D" w14:paraId="13AC447D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33BD3A2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9328F32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Guantes resistentes a ácidos.</w:t>
            </w:r>
          </w:p>
        </w:tc>
      </w:tr>
      <w:tr w:rsidR="00EF03DA" w:rsidRPr="00EF57E7" w14:paraId="50783569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2CC394A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FBEA977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Para el ácido fosfórico: TLV: 1 mg/m3 </w:t>
            </w:r>
          </w:p>
        </w:tc>
      </w:tr>
      <w:tr w:rsidR="00EF03DA" w14:paraId="2EC1AA5A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EA5EEAA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F03DA" w14:paraId="63464E98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6B11A2F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EF03DA" w:rsidRPr="00622C4D" w14:paraId="673AF7A9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B420F0A" w14:textId="77777777" w:rsidR="00EF03DA" w:rsidRPr="009F6800" w:rsidRDefault="00EF03DA" w:rsidP="005204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F680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047A2BC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Líquido incoloro inodoro</w:t>
            </w:r>
          </w:p>
        </w:tc>
      </w:tr>
      <w:tr w:rsidR="00EF03DA" w14:paraId="45E253F4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5C3C07C7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6034107" w14:textId="77777777" w:rsidR="00EF03DA" w:rsidRPr="009F6800" w:rsidRDefault="005502A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1.170-1.195</w:t>
            </w:r>
          </w:p>
        </w:tc>
      </w:tr>
      <w:tr w:rsidR="00EF03DA" w14:paraId="3AA97722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BB8A24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3AF3A08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Solubilidad completa en agua.</w:t>
            </w:r>
          </w:p>
          <w:p w14:paraId="64520C29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EF03DA" w:rsidRPr="005932BB" w14:paraId="454D9E1F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24C1EF5" w14:textId="77777777" w:rsidR="00EF03DA" w:rsidRPr="009F6800" w:rsidRDefault="00EF03DA" w:rsidP="0052045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9F6800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D4C5B0C" w14:textId="77777777" w:rsidR="00EF03DA" w:rsidRPr="009F6800" w:rsidRDefault="00EF03DA" w:rsidP="005932BB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</w:t>
            </w:r>
            <w:r w:rsidR="005932BB" w:rsidRPr="009F6800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EF03DA" w:rsidRPr="00EF57E7" w14:paraId="2B7A1F25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DB7DF08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1F41298" w14:textId="77777777" w:rsidR="00EF03DA" w:rsidRPr="009F6800" w:rsidRDefault="00EF03DA" w:rsidP="00520451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8D2CB5" w:rsidRPr="009F6800">
              <w:rPr>
                <w:rFonts w:ascii="Open Sans" w:hAnsi="Open Sans" w:cs="Open Sans"/>
                <w:lang w:val="es-CR"/>
              </w:rPr>
              <w:t>este</w:t>
            </w:r>
            <w:r w:rsidRPr="009F6800">
              <w:rPr>
                <w:rFonts w:ascii="Open Sans" w:hAnsi="Open Sans" w:cs="Open Sans"/>
                <w:lang w:val="es-CR"/>
              </w:rPr>
              <w:t xml:space="preserve"> producto</w:t>
            </w:r>
          </w:p>
        </w:tc>
      </w:tr>
      <w:tr w:rsidR="00EF03DA" w:rsidRPr="00EF57E7" w14:paraId="462AFAA7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709A4B0" w14:textId="77777777" w:rsidR="00EF03DA" w:rsidRPr="009F6800" w:rsidRDefault="00EF03DA" w:rsidP="00520451">
            <w:pPr>
              <w:rPr>
                <w:rFonts w:ascii="Open Sans" w:hAnsi="Open Sans" w:cs="Open Sans"/>
                <w:b/>
              </w:rPr>
            </w:pPr>
            <w:r w:rsidRPr="009F6800">
              <w:rPr>
                <w:rFonts w:ascii="Open Sans" w:hAnsi="Open Sans" w:cs="Open Sans"/>
                <w:b/>
              </w:rPr>
              <w:t>pH</w:t>
            </w:r>
            <w:r w:rsidR="00083094" w:rsidRPr="009F6800">
              <w:rPr>
                <w:rFonts w:ascii="Open Sans" w:hAnsi="Open Sans" w:cs="Open Sans"/>
                <w:b/>
              </w:rPr>
              <w:t xml:space="preserve"> </w:t>
            </w:r>
            <w:r w:rsidRPr="009F6800">
              <w:rPr>
                <w:rFonts w:ascii="Open Sans" w:hAnsi="Open Sans" w:cs="Open Sans"/>
                <w:b/>
              </w:rPr>
              <w:t>(1%)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7FFAA0A" w14:textId="77777777" w:rsidR="00EF03DA" w:rsidRPr="009F6800" w:rsidRDefault="00EF03DA" w:rsidP="00520451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8D2CB5" w:rsidRPr="009F6800">
              <w:rPr>
                <w:rFonts w:ascii="Open Sans" w:hAnsi="Open Sans" w:cs="Open Sans"/>
                <w:lang w:val="es-CR"/>
              </w:rPr>
              <w:t>este</w:t>
            </w:r>
            <w:r w:rsidRPr="009F6800">
              <w:rPr>
                <w:rFonts w:ascii="Open Sans" w:hAnsi="Open Sans" w:cs="Open Sans"/>
                <w:lang w:val="es-CR"/>
              </w:rPr>
              <w:t xml:space="preserve"> producto</w:t>
            </w:r>
          </w:p>
        </w:tc>
      </w:tr>
      <w:tr w:rsidR="00EF03DA" w14:paraId="0EA5143B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9DEBB45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0C347C4" w14:textId="77777777" w:rsidR="00EF03DA" w:rsidRPr="009F6800" w:rsidRDefault="00DD3408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1.170 – 1.195 g/ml</w:t>
            </w:r>
          </w:p>
        </w:tc>
      </w:tr>
      <w:tr w:rsidR="00EF03DA" w:rsidRPr="005D6EAF" w14:paraId="1A49FDA8" w14:textId="77777777" w:rsidTr="00622C4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05CFCE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00210C3" w14:textId="77777777" w:rsidR="00EF03DA" w:rsidRPr="009F6800" w:rsidRDefault="005D6EAF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EF03DA" w:rsidRPr="00EF57E7" w14:paraId="1F0BC601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394D067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EF03DA" w14:paraId="23158DCC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1B7CBE3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EF03DA" w14:paraId="0F3205C1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CED85C8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EF03DA" w:rsidRPr="00EF57E7" w14:paraId="6637C495" w14:textId="77777777" w:rsidTr="00622C4D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D136428" w14:textId="77777777" w:rsidR="00EF03DA" w:rsidRPr="009F6800" w:rsidRDefault="00EF03DA" w:rsidP="00520451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F6800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BF5F7FF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Estable bajo las condiciones normales de uso.</w:t>
            </w:r>
          </w:p>
        </w:tc>
      </w:tr>
      <w:tr w:rsidR="00EF03DA" w:rsidRPr="00EF57E7" w14:paraId="2A5CB255" w14:textId="77777777" w:rsidTr="00622C4D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047D64E5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599453B8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Metales, bases fuertes, agentes oxidantes, cianuros y sulfuros.</w:t>
            </w:r>
          </w:p>
        </w:tc>
      </w:tr>
      <w:tr w:rsidR="00B13150" w:rsidRPr="005932BB" w14:paraId="2F85F8F3" w14:textId="77777777" w:rsidTr="00622C4D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1321D5A" w14:textId="77777777" w:rsidR="00B13150" w:rsidRPr="009F6800" w:rsidRDefault="00B13150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A9CE18F" w14:textId="77777777" w:rsidR="00B13150" w:rsidRPr="009F6800" w:rsidRDefault="00B13150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ocurrirán.</w:t>
            </w:r>
          </w:p>
        </w:tc>
      </w:tr>
      <w:tr w:rsidR="00EF03DA" w:rsidRPr="00EF57E7" w14:paraId="58EDA382" w14:textId="77777777" w:rsidTr="00622C4D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41AC5F7D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0CD816C1" w14:textId="77777777" w:rsidR="00EF03DA" w:rsidRPr="009F6800" w:rsidRDefault="00EF03DA" w:rsidP="0052045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Óxidos de fósforo y gas hidrógeno.</w:t>
            </w:r>
          </w:p>
        </w:tc>
      </w:tr>
      <w:tr w:rsidR="00EF03DA" w14:paraId="242170CC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FA69150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EF03DA" w14:paraId="06BC2E21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1F10792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EF03DA" w:rsidRPr="00EF57E7" w14:paraId="1D6610B8" w14:textId="77777777" w:rsidTr="0088163F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7C426367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9F680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F680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19EC6832" w14:textId="77777777" w:rsidR="00EF03DA" w:rsidRPr="009F6800" w:rsidRDefault="002E000E" w:rsidP="0088163F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Dosis aproximada DL</w:t>
            </w:r>
            <w:r w:rsidRPr="009F680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F6800">
              <w:rPr>
                <w:rFonts w:ascii="Open Sans" w:hAnsi="Open Sans" w:cs="Open Sans"/>
                <w:lang w:val="es-CR"/>
              </w:rPr>
              <w:t xml:space="preserve"> 2</w:t>
            </w:r>
            <w:r w:rsidR="0088163F" w:rsidRPr="009F6800">
              <w:rPr>
                <w:rFonts w:ascii="Open Sans" w:hAnsi="Open Sans" w:cs="Open Sans"/>
                <w:lang w:val="es-CR"/>
              </w:rPr>
              <w:t>817</w:t>
            </w:r>
            <w:r w:rsidRPr="009F6800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EF03DA" w:rsidRPr="00EF57E7" w14:paraId="7E2FBA54" w14:textId="77777777" w:rsidTr="0088163F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6F9C326A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9F680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F680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564708F6" w14:textId="77777777" w:rsidR="00EF03DA" w:rsidRPr="009F6800" w:rsidRDefault="00EF03DA" w:rsidP="00520451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EF03DA" w:rsidRPr="00EF57E7" w14:paraId="60152909" w14:textId="77777777" w:rsidTr="0088163F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080C171D" w14:textId="77777777" w:rsidR="00EF03DA" w:rsidRPr="009F6800" w:rsidRDefault="00EF03DA" w:rsidP="00520451">
            <w:pPr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9F6800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F6800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52DF6AE8" w14:textId="77777777" w:rsidR="00EF03DA" w:rsidRPr="009F6800" w:rsidRDefault="00EF03DA" w:rsidP="00520451">
            <w:pPr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No está determinado para este producto.</w:t>
            </w:r>
          </w:p>
        </w:tc>
      </w:tr>
      <w:tr w:rsidR="00EF03DA" w14:paraId="33FDE134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6D4278C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EF03DA" w:rsidRPr="00EF57E7" w14:paraId="21A41DEB" w14:textId="77777777" w:rsidTr="00622C4D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DB55C56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EF03DA" w14:paraId="52BCADA7" w14:textId="77777777" w:rsidTr="0088163F">
        <w:trPr>
          <w:cantSplit/>
          <w:trHeight w:val="193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01C8F92" w14:textId="77777777" w:rsidR="00EF03DA" w:rsidRPr="009F6800" w:rsidRDefault="00EF03DA" w:rsidP="00520451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EF03DA" w14:paraId="6D63F1DC" w14:textId="77777777" w:rsidTr="00622C4D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B5EC2CD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EF03DA" w:rsidRPr="00EF57E7" w14:paraId="4711445B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E427863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EF03DA" w:rsidRPr="00EF57E7" w14:paraId="2C73FCA6" w14:textId="77777777" w:rsidTr="0088163F">
        <w:trPr>
          <w:cantSplit/>
          <w:trHeight w:val="26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C784174" w14:textId="77777777" w:rsidR="00EF03DA" w:rsidRPr="009F6800" w:rsidRDefault="00EF03DA" w:rsidP="0088163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Seguir las regulaciones gubernamentales para el desecho de este producto.</w:t>
            </w:r>
          </w:p>
        </w:tc>
      </w:tr>
      <w:tr w:rsidR="00EF03DA" w14:paraId="192FFCC7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8B0295E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EF03DA" w14:paraId="0277F435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1011B0F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EF03DA" w:rsidRPr="00EF57E7" w14:paraId="0B6A5599" w14:textId="77777777" w:rsidTr="00622C4D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EE03BFE" w14:textId="77777777" w:rsidR="00EF03DA" w:rsidRPr="009F6800" w:rsidRDefault="00EF03DA" w:rsidP="00520451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9F6800">
              <w:rPr>
                <w:rFonts w:ascii="Open Sans" w:hAnsi="Open Sans" w:cs="Open Sans"/>
                <w:bCs/>
                <w:lang w:val="es-CR"/>
              </w:rPr>
              <w:t>Seguir todas las regulaciones de cada país donde se comercialice.</w:t>
            </w:r>
          </w:p>
        </w:tc>
      </w:tr>
      <w:tr w:rsidR="00EF03DA" w14:paraId="2246F515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9627C4B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EF03DA" w14:paraId="631E5E47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734E413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EF03DA" w:rsidRPr="00EF57E7" w14:paraId="53814118" w14:textId="77777777" w:rsidTr="00622C4D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F13BE89" w14:textId="77777777" w:rsidR="00EF03DA" w:rsidRPr="009F6800" w:rsidRDefault="00EF03DA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 xml:space="preserve">Debe contar con los </w:t>
            </w:r>
            <w:r w:rsidR="008D2CB5" w:rsidRPr="009F6800">
              <w:rPr>
                <w:rFonts w:ascii="Open Sans" w:hAnsi="Open Sans" w:cs="Open Sans"/>
                <w:lang w:val="es-CR"/>
              </w:rPr>
              <w:t>todos los trámites regulatorios existentes</w:t>
            </w:r>
            <w:r w:rsidRPr="009F6800">
              <w:rPr>
                <w:rFonts w:ascii="Open Sans" w:hAnsi="Open Sans" w:cs="Open Sans"/>
                <w:lang w:val="es-CR"/>
              </w:rPr>
              <w:t xml:space="preserve"> en cada país donde se comercialice.</w:t>
            </w:r>
          </w:p>
        </w:tc>
      </w:tr>
      <w:tr w:rsidR="00EF03DA" w14:paraId="5FF0768E" w14:textId="77777777" w:rsidTr="00622C4D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0AB1FD2" w14:textId="77777777" w:rsidR="00EF03DA" w:rsidRPr="009F6800" w:rsidRDefault="00EF03DA" w:rsidP="0052045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9F6800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F03DA" w14:paraId="70393D64" w14:textId="77777777" w:rsidTr="00622C4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701196D" w14:textId="77777777" w:rsidR="00EF03DA" w:rsidRPr="009F6800" w:rsidRDefault="00EF03DA" w:rsidP="0052045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F6800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EF03DA" w:rsidRPr="00EF57E7" w14:paraId="7C071716" w14:textId="77777777" w:rsidTr="0088163F">
        <w:trPr>
          <w:cantSplit/>
          <w:trHeight w:val="26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EF51A84" w14:textId="77777777" w:rsidR="00EF03DA" w:rsidRPr="009F6800" w:rsidRDefault="00EF03DA" w:rsidP="0052045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F6800">
              <w:rPr>
                <w:rFonts w:ascii="Open Sans" w:hAnsi="Open Sans" w:cs="Open Sans"/>
                <w:lang w:val="es-CR"/>
              </w:rPr>
              <w:t>Evite contacto con la piel, los ojos y la inhalación. Mantenga fuera del alcance de niños.</w:t>
            </w:r>
          </w:p>
        </w:tc>
      </w:tr>
    </w:tbl>
    <w:p w14:paraId="370D9EBA" w14:textId="77777777" w:rsidR="00622C4D" w:rsidRDefault="00622C4D" w:rsidP="00622C4D">
      <w:pPr>
        <w:rPr>
          <w:lang w:val="es-CR"/>
        </w:rPr>
      </w:pPr>
    </w:p>
    <w:p w14:paraId="208F299A" w14:textId="77777777" w:rsidR="00BE0F6A" w:rsidRPr="00EF03DA" w:rsidRDefault="005502AA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3BBF3B" wp14:editId="2223FC73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1171575" cy="1177925"/>
                <wp:effectExtent l="93980" t="92075" r="92710" b="850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177925"/>
                          <a:chOff x="2836" y="2476"/>
                          <a:chExt cx="2607" cy="260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A12BA" w14:textId="77777777" w:rsidR="00422BAC" w:rsidRPr="005020E8" w:rsidRDefault="00422BAC" w:rsidP="00622C4D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5020E8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  <w:p w14:paraId="2A2D19C0" w14:textId="77777777" w:rsidR="00422BAC" w:rsidRDefault="00422BAC" w:rsidP="00622C4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C041C" w14:textId="77777777" w:rsidR="00422BAC" w:rsidRPr="005020E8" w:rsidRDefault="00422BAC" w:rsidP="00622C4D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5020E8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3D542" w14:textId="77777777" w:rsidR="00422BAC" w:rsidRPr="005020E8" w:rsidRDefault="00422BAC" w:rsidP="00622C4D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</w:t>
                              </w:r>
                              <w:r w:rsidRPr="0002167E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BBF3B" id="Group 2" o:spid="_x0000_s1026" style="position:absolute;margin-left:171pt;margin-top:.95pt;width:92.25pt;height:92.75pt;z-index:-251657216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">
                <v:rect id="Rectangle 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" fillcolor="red">
                  <v:textbox>
                    <w:txbxContent>
                      <w:p w14:paraId="147A12BA" w14:textId="77777777" w:rsidR="00422BAC" w:rsidRPr="005020E8" w:rsidRDefault="00422BAC" w:rsidP="00622C4D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5020E8">
                          <w:rPr>
                            <w:b/>
                            <w:lang w:val="es-CR"/>
                          </w:rPr>
                          <w:t>0</w:t>
                        </w:r>
                      </w:p>
                      <w:p w14:paraId="2A2D19C0" w14:textId="77777777" w:rsidR="00422BAC" w:rsidRDefault="00422BAC" w:rsidP="00622C4D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9gwwAAANoAAAAPAAAAZHJzL2Rvd25yZXYueG1sRI9Ba8JA&#10;FITvgv9heUJvuqmI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AdXfYMMAAADaAAAADwAA&#10;AAAAAAAAAAAAAAAHAgAAZHJzL2Rvd25yZXYueG1sUEsFBgAAAAADAAMAtwAAAPcCAAAAAA==&#10;" fillcolor="yellow">
                  <v:textbox>
                    <w:txbxContent>
                      <w:p w14:paraId="358C041C" w14:textId="77777777" w:rsidR="00422BAC" w:rsidRPr="005020E8" w:rsidRDefault="00422BAC" w:rsidP="00622C4D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5020E8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oBxQAAANoAAAAPAAAAZHJzL2Rvd25yZXYueG1sRI9Ba8JA&#10;FITvhf6H5RW81Y2VFo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B2QDoBxQAAANoAAAAP&#10;AAAAAAAAAAAAAAAAAAcCAABkcnMvZG93bnJldi54bWxQSwUGAAAAAAMAAwC3AAAA+QIAAAAA&#10;" fillcolor="blue">
                  <v:textbox>
                    <w:txbxContent>
                      <w:p w14:paraId="59B3D542" w14:textId="77777777" w:rsidR="00422BAC" w:rsidRPr="005020E8" w:rsidRDefault="00422BAC" w:rsidP="00622C4D">
                        <w:pPr>
                          <w:rPr>
                            <w:b/>
                            <w:color w:val="FFFFFF"/>
                            <w:lang w:val="es-CR"/>
                          </w:rPr>
                        </w:pPr>
                        <w:r>
                          <w:rPr>
                            <w:b/>
                            <w:color w:val="FFFFFF"/>
                            <w:lang w:val="es-CR"/>
                          </w:rPr>
                          <w:t xml:space="preserve">  </w:t>
                        </w:r>
                        <w:r w:rsidRPr="0002167E">
                          <w:rPr>
                            <w:b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"/>
              </v:group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87C3A" wp14:editId="49E29C9B">
                <wp:simplePos x="0" y="0"/>
                <wp:positionH relativeFrom="column">
                  <wp:posOffset>2544445</wp:posOffset>
                </wp:positionH>
                <wp:positionV relativeFrom="paragraph">
                  <wp:posOffset>837565</wp:posOffset>
                </wp:positionV>
                <wp:extent cx="431165" cy="184150"/>
                <wp:effectExtent l="7620" t="11430" r="8890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979E" w14:textId="77777777" w:rsidR="00422BAC" w:rsidRPr="0002167E" w:rsidRDefault="00422BAC">
                            <w:pPr>
                              <w:rPr>
                                <w:sz w:val="18"/>
                                <w:lang w:val="es-CR"/>
                              </w:rPr>
                            </w:pPr>
                            <w:r w:rsidRPr="0002167E">
                              <w:rPr>
                                <w:sz w:val="14"/>
                                <w:lang w:val="es-CR"/>
                              </w:rPr>
                              <w:t>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7C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200.35pt;margin-top:65.95pt;width:33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" strokecolor="white [3212]" strokeweight="0">
                <v:textbox>
                  <w:txbxContent>
                    <w:p w14:paraId="717F979E" w14:textId="77777777" w:rsidR="00422BAC" w:rsidRPr="0002167E" w:rsidRDefault="00422BAC">
                      <w:pPr>
                        <w:rPr>
                          <w:sz w:val="18"/>
                          <w:lang w:val="es-CR"/>
                        </w:rPr>
                      </w:pPr>
                      <w:r w:rsidRPr="0002167E">
                        <w:rPr>
                          <w:sz w:val="14"/>
                          <w:lang w:val="es-CR"/>
                        </w:rPr>
                        <w:t>ACID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F6A" w:rsidRPr="00EF03DA" w:rsidSect="00520451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A399" w14:textId="77777777" w:rsidR="004D5794" w:rsidRDefault="004D5794" w:rsidP="00622C4D">
      <w:r>
        <w:separator/>
      </w:r>
    </w:p>
  </w:endnote>
  <w:endnote w:type="continuationSeparator" w:id="0">
    <w:p w14:paraId="643FCBAC" w14:textId="77777777" w:rsidR="004D5794" w:rsidRDefault="004D5794" w:rsidP="006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0C75" w14:textId="77777777" w:rsidR="00422BAC" w:rsidRDefault="00422B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18A219" w14:textId="77777777" w:rsidR="00422BAC" w:rsidRDefault="00422B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0730" w14:textId="77777777" w:rsidR="00422BAC" w:rsidRPr="00F00E77" w:rsidRDefault="00422BAC" w:rsidP="00520451">
    <w:pPr>
      <w:pStyle w:val="Encabezado"/>
      <w:jc w:val="center"/>
      <w:rPr>
        <w:rFonts w:ascii="Tahoma" w:hAnsi="Tahoma"/>
        <w:b/>
        <w:sz w:val="16"/>
        <w:szCs w:val="16"/>
        <w:u w:val="single"/>
        <w:lang w:val="es-CR"/>
      </w:rPr>
    </w:pPr>
    <w:r w:rsidRPr="00F00E77">
      <w:rPr>
        <w:rFonts w:ascii="Tahoma" w:hAnsi="Tahoma"/>
        <w:b/>
        <w:sz w:val="16"/>
        <w:szCs w:val="16"/>
        <w:u w:val="single"/>
        <w:lang w:val="es-CR"/>
      </w:rPr>
      <w:t>_______________________________________________________________________________</w:t>
    </w:r>
  </w:p>
  <w:p w14:paraId="138396E1" w14:textId="77777777" w:rsidR="00422BAC" w:rsidRPr="009F6800" w:rsidRDefault="00422BAC" w:rsidP="00520451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9F6800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3A3FF26E" w14:textId="77777777" w:rsidR="00422BAC" w:rsidRPr="009F6800" w:rsidRDefault="00422BAC" w:rsidP="00520451">
    <w:pPr>
      <w:pStyle w:val="Piedepgina"/>
      <w:jc w:val="center"/>
      <w:rPr>
        <w:rFonts w:ascii="Open Sans" w:hAnsi="Open Sans" w:cs="Open Sans"/>
        <w:b/>
        <w:sz w:val="16"/>
        <w:szCs w:val="16"/>
        <w:lang w:val="es-CR"/>
      </w:rPr>
    </w:pPr>
    <w:hyperlink r:id="rId1" w:history="1">
      <w:r w:rsidRPr="009F6800">
        <w:rPr>
          <w:rStyle w:val="Hipervnculo"/>
          <w:rFonts w:ascii="Open Sans" w:hAnsi="Open Sans" w:cs="Open Sans"/>
          <w:sz w:val="16"/>
          <w:szCs w:val="16"/>
          <w:lang w:val="es-CR"/>
        </w:rPr>
        <w:t>http://www.corporacioncek.com</w:t>
      </w:r>
    </w:hyperlink>
    <w:r w:rsidRPr="009F6800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424444BF" w14:textId="77777777" w:rsidR="00422BAC" w:rsidRDefault="00422BAC" w:rsidP="00520451">
    <w:pPr>
      <w:pStyle w:val="Piedepgina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B07E" w14:textId="77777777" w:rsidR="004D5794" w:rsidRDefault="004D5794" w:rsidP="00622C4D">
      <w:r>
        <w:separator/>
      </w:r>
    </w:p>
  </w:footnote>
  <w:footnote w:type="continuationSeparator" w:id="0">
    <w:p w14:paraId="16330590" w14:textId="77777777" w:rsidR="004D5794" w:rsidRDefault="004D5794" w:rsidP="006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41F5" w14:textId="77777777" w:rsidR="00422BAC" w:rsidRDefault="00422BAC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422BAC" w14:paraId="57EAF26B" w14:textId="77777777" w:rsidTr="00520451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5C51B30" w14:textId="77777777" w:rsidR="00422BAC" w:rsidRDefault="009F6800" w:rsidP="00520451">
          <w:pPr>
            <w:jc w:val="center"/>
          </w:pPr>
          <w:r w:rsidRPr="009F6800">
            <w:rPr>
              <w:noProof/>
              <w:lang w:val="es-CR" w:eastAsia="es-CR"/>
            </w:rPr>
            <w:drawing>
              <wp:inline distT="0" distB="0" distL="0" distR="0" wp14:anchorId="5D0D8AE8" wp14:editId="6B96D519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5B0C958" w14:textId="77777777" w:rsidR="00422BAC" w:rsidRPr="009F6800" w:rsidRDefault="00422BAC" w:rsidP="00520451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9F6800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A2904B1" w14:textId="77777777" w:rsidR="00422BAC" w:rsidRPr="009F6800" w:rsidRDefault="00422BAC" w:rsidP="00520451">
          <w:pPr>
            <w:rPr>
              <w:rFonts w:ascii="Open Sans" w:hAnsi="Open Sans" w:cs="Open Sans"/>
              <w:lang w:val="es-ES"/>
            </w:rPr>
          </w:pPr>
        </w:p>
        <w:p w14:paraId="72A5DE54" w14:textId="77777777" w:rsidR="00422BAC" w:rsidRPr="009F6800" w:rsidRDefault="00422BAC" w:rsidP="00520451">
          <w:pPr>
            <w:jc w:val="center"/>
            <w:rPr>
              <w:rFonts w:ascii="Open Sans" w:hAnsi="Open Sans" w:cs="Open Sans"/>
              <w:lang w:val="es-ES"/>
            </w:rPr>
          </w:pPr>
          <w:r w:rsidRPr="009F6800">
            <w:rPr>
              <w:rFonts w:ascii="Open Sans" w:hAnsi="Open Sans" w:cs="Open Sans"/>
              <w:sz w:val="22"/>
              <w:szCs w:val="22"/>
              <w:lang w:val="es-ES"/>
            </w:rPr>
            <w:t>SCALE SAFE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4F2929" w14:textId="77777777" w:rsidR="00422BAC" w:rsidRPr="009F6800" w:rsidRDefault="00422BAC" w:rsidP="0052045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F680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9F680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CEKMSDS-194</w:t>
          </w:r>
        </w:p>
      </w:tc>
    </w:tr>
    <w:tr w:rsidR="00422BAC" w14:paraId="7160A360" w14:textId="77777777" w:rsidTr="00520451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62DB9E" w14:textId="77777777" w:rsidR="00422BAC" w:rsidRDefault="00422BAC" w:rsidP="0052045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903A0E" w14:textId="77777777" w:rsidR="00422BAC" w:rsidRPr="009F6800" w:rsidRDefault="00422BAC" w:rsidP="00520451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0FF618" w14:textId="3E02706B" w:rsidR="00422BAC" w:rsidRPr="009F6800" w:rsidRDefault="00422BAC" w:rsidP="00DD3408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F680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036C9B" w:rsidRPr="00036C9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1</w:t>
          </w:r>
          <w:r w:rsidR="0058152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9F6800" w:rsidRPr="00036C9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- </w:t>
          </w:r>
          <w:r w:rsidR="007A32E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EF57E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7A32E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036C9B" w:rsidRPr="00036C9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EF57E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4</w:t>
          </w:r>
        </w:p>
      </w:tc>
    </w:tr>
    <w:tr w:rsidR="00422BAC" w:rsidRPr="009F6800" w14:paraId="2F53A439" w14:textId="77777777" w:rsidTr="00520451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3687D9B" w14:textId="77777777" w:rsidR="00422BAC" w:rsidRDefault="00422BAC" w:rsidP="0052045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AA77427" w14:textId="77777777" w:rsidR="00422BAC" w:rsidRPr="009F6800" w:rsidRDefault="00422BAC" w:rsidP="00520451">
          <w:pPr>
            <w:rPr>
              <w:rFonts w:ascii="Open Sans" w:hAnsi="Open Sans" w:cs="Open Sans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1FFC00" w14:textId="16761BF2" w:rsidR="00422BAC" w:rsidRPr="00036C9B" w:rsidRDefault="00422BAC" w:rsidP="00520451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9F680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7A32E1" w:rsidRPr="0058152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EF57E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7A32E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</w:t>
          </w:r>
          <w:r w:rsidR="00036C9B" w:rsidRPr="00036C9B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EF57E7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4</w:t>
          </w:r>
        </w:p>
        <w:p w14:paraId="37133AFB" w14:textId="77777777" w:rsidR="00422BAC" w:rsidRPr="009F6800" w:rsidRDefault="00422BAC" w:rsidP="0052045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F680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9F680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77CA84C0" w14:textId="77777777" w:rsidR="00422BAC" w:rsidRPr="009F6800" w:rsidRDefault="00422BAC" w:rsidP="00520451">
          <w:pPr>
            <w:rPr>
              <w:rFonts w:ascii="Open Sans" w:hAnsi="Open Sans" w:cs="Open Sans"/>
              <w:b/>
              <w:lang w:val="es-ES"/>
            </w:rPr>
          </w:pPr>
          <w:r w:rsidRPr="009F6800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AA2A8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AA2A81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9F6800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36CFFCE5" w14:textId="77777777" w:rsidR="00422BAC" w:rsidRPr="009F6800" w:rsidRDefault="00422BAC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cumentProtection w:edit="readOnly" w:formatting="1" w:enforcement="1" w:cryptProviderType="rsaAES" w:cryptAlgorithmClass="hash" w:cryptAlgorithmType="typeAny" w:cryptAlgorithmSid="14" w:cryptSpinCount="100000" w:hash="jFnBzCdp3/Lp4IEkkNA5bULA6VeiGZd/G/ayeQ5jpO0BWrob/vzVkgeOKDw+M9MWhnpOsq2uL02d9x/RMEUyjQ==" w:salt="HAHUS4D2A3jhysq+QR10x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4D"/>
    <w:rsid w:val="000063E9"/>
    <w:rsid w:val="0002167E"/>
    <w:rsid w:val="00030EF3"/>
    <w:rsid w:val="00036C9B"/>
    <w:rsid w:val="00083094"/>
    <w:rsid w:val="00097D98"/>
    <w:rsid w:val="000E73BD"/>
    <w:rsid w:val="0018017F"/>
    <w:rsid w:val="001C2AC3"/>
    <w:rsid w:val="001E611F"/>
    <w:rsid w:val="001F4EE5"/>
    <w:rsid w:val="0020235F"/>
    <w:rsid w:val="00273914"/>
    <w:rsid w:val="002E000E"/>
    <w:rsid w:val="002F1BE3"/>
    <w:rsid w:val="00422BAC"/>
    <w:rsid w:val="00473E6E"/>
    <w:rsid w:val="004D5794"/>
    <w:rsid w:val="00520451"/>
    <w:rsid w:val="005219F3"/>
    <w:rsid w:val="005502AA"/>
    <w:rsid w:val="00552779"/>
    <w:rsid w:val="00581521"/>
    <w:rsid w:val="005932BB"/>
    <w:rsid w:val="005D6EAF"/>
    <w:rsid w:val="00622C4D"/>
    <w:rsid w:val="00692EE0"/>
    <w:rsid w:val="006A099E"/>
    <w:rsid w:val="00700063"/>
    <w:rsid w:val="007300A9"/>
    <w:rsid w:val="007359B8"/>
    <w:rsid w:val="007A32E1"/>
    <w:rsid w:val="007B58A7"/>
    <w:rsid w:val="007C407B"/>
    <w:rsid w:val="007D6241"/>
    <w:rsid w:val="0088163F"/>
    <w:rsid w:val="008D2CB5"/>
    <w:rsid w:val="00913CF2"/>
    <w:rsid w:val="00967F5E"/>
    <w:rsid w:val="009B45CB"/>
    <w:rsid w:val="009F6800"/>
    <w:rsid w:val="00A447FD"/>
    <w:rsid w:val="00AA2A81"/>
    <w:rsid w:val="00AA5F18"/>
    <w:rsid w:val="00B13150"/>
    <w:rsid w:val="00B5674C"/>
    <w:rsid w:val="00B73620"/>
    <w:rsid w:val="00BE0F6A"/>
    <w:rsid w:val="00C00919"/>
    <w:rsid w:val="00C05F92"/>
    <w:rsid w:val="00C42B23"/>
    <w:rsid w:val="00DD3408"/>
    <w:rsid w:val="00E04251"/>
    <w:rsid w:val="00E75855"/>
    <w:rsid w:val="00EA293B"/>
    <w:rsid w:val="00EF03DA"/>
    <w:rsid w:val="00EF57E7"/>
    <w:rsid w:val="00F00E77"/>
    <w:rsid w:val="00FD5B31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034C7E"/>
  <w15:docId w15:val="{1632D659-63E9-4B77-A8FB-5602A490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622C4D"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622C4D"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link w:val="Ttulo3Car"/>
    <w:qFormat/>
    <w:rsid w:val="00622C4D"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link w:val="Ttulo4Car"/>
    <w:qFormat/>
    <w:rsid w:val="00622C4D"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link w:val="Ttulo5Car"/>
    <w:qFormat/>
    <w:rsid w:val="00622C4D"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link w:val="Ttulo6Car"/>
    <w:qFormat/>
    <w:rsid w:val="00622C4D"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link w:val="Ttulo7Car"/>
    <w:qFormat/>
    <w:rsid w:val="00622C4D"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link w:val="Ttulo8Car"/>
    <w:qFormat/>
    <w:rsid w:val="00622C4D"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link w:val="Ttulo9Car"/>
    <w:qFormat/>
    <w:rsid w:val="00622C4D"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2C4D"/>
    <w:rPr>
      <w:rFonts w:ascii="Arial Black" w:eastAsia="Times New Roman" w:hAnsi="Arial Black" w:cs="Times New Roman"/>
      <w:sz w:val="24"/>
      <w:szCs w:val="20"/>
      <w:u w:val="single"/>
      <w:lang w:val="en-US"/>
    </w:rPr>
  </w:style>
  <w:style w:type="character" w:customStyle="1" w:styleId="Ttulo2Car">
    <w:name w:val="Título 2 Car"/>
    <w:basedOn w:val="Fuentedeprrafopredeter"/>
    <w:link w:val="Ttulo2"/>
    <w:rsid w:val="00622C4D"/>
    <w:rPr>
      <w:rFonts w:ascii="Tahoma" w:eastAsia="Times New Roman" w:hAnsi="Tahoma" w:cs="Times New Roman"/>
      <w:b/>
      <w:color w:val="0000FF"/>
      <w:sz w:val="12"/>
      <w:szCs w:val="20"/>
    </w:rPr>
  </w:style>
  <w:style w:type="character" w:customStyle="1" w:styleId="Ttulo3Car">
    <w:name w:val="Título 3 Car"/>
    <w:basedOn w:val="Fuentedeprrafopredeter"/>
    <w:link w:val="Ttulo3"/>
    <w:rsid w:val="00622C4D"/>
    <w:rPr>
      <w:rFonts w:ascii="Arial" w:eastAsia="Times New Roman" w:hAnsi="Arial" w:cs="Times New Roman"/>
      <w:b/>
      <w:color w:val="0000FF"/>
      <w:sz w:val="12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622C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622C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622C4D"/>
    <w:rPr>
      <w:rFonts w:ascii="Arial" w:eastAsia="Times New Roman" w:hAnsi="Arial" w:cs="Arial"/>
      <w:b/>
      <w:bCs/>
      <w:szCs w:val="24"/>
    </w:rPr>
  </w:style>
  <w:style w:type="character" w:customStyle="1" w:styleId="Ttulo7Car">
    <w:name w:val="Título 7 Car"/>
    <w:basedOn w:val="Fuentedeprrafopredeter"/>
    <w:link w:val="Ttulo7"/>
    <w:rsid w:val="00622C4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622C4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622C4D"/>
    <w:rPr>
      <w:rFonts w:ascii="Times New Roman" w:eastAsia="Times New Roman" w:hAnsi="Times New Roman" w:cs="Times New Roman"/>
      <w:b/>
      <w:color w:val="FF00FF"/>
      <w:sz w:val="24"/>
      <w:szCs w:val="24"/>
    </w:rPr>
  </w:style>
  <w:style w:type="paragraph" w:styleId="Ttulo">
    <w:name w:val="Title"/>
    <w:basedOn w:val="Normal"/>
    <w:link w:val="TtuloCar"/>
    <w:qFormat/>
    <w:rsid w:val="00622C4D"/>
    <w:pPr>
      <w:jc w:val="center"/>
    </w:pPr>
    <w:rPr>
      <w:b/>
      <w:szCs w:val="20"/>
      <w:lang w:val="es-CR"/>
    </w:rPr>
  </w:style>
  <w:style w:type="character" w:customStyle="1" w:styleId="TtuloCar">
    <w:name w:val="Título Car"/>
    <w:basedOn w:val="Fuentedeprrafopredeter"/>
    <w:link w:val="Ttulo"/>
    <w:rsid w:val="00622C4D"/>
    <w:rPr>
      <w:rFonts w:ascii="Times New Roman" w:eastAsia="Times New Roman" w:hAnsi="Times New Roman" w:cs="Times New Roman"/>
      <w:b/>
      <w:sz w:val="24"/>
      <w:szCs w:val="20"/>
    </w:rPr>
  </w:style>
  <w:style w:type="paragraph" w:styleId="Piedepgina">
    <w:name w:val="footer"/>
    <w:basedOn w:val="Normal"/>
    <w:link w:val="PiedepginaCar"/>
    <w:rsid w:val="00622C4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622C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622C4D"/>
  </w:style>
  <w:style w:type="paragraph" w:styleId="Encabezado">
    <w:name w:val="header"/>
    <w:basedOn w:val="Normal"/>
    <w:link w:val="EncabezadoCar"/>
    <w:uiPriority w:val="99"/>
    <w:rsid w:val="00622C4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C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rsid w:val="00622C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17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945</Words>
  <Characters>5198</Characters>
  <Application>Microsoft Office Word</Application>
  <DocSecurity>8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López Aguilar</dc:creator>
  <cp:lastModifiedBy>licencias cek27</cp:lastModifiedBy>
  <cp:revision>6</cp:revision>
  <cp:lastPrinted>2018-02-05T18:02:00Z</cp:lastPrinted>
  <dcterms:created xsi:type="dcterms:W3CDTF">2023-12-15T21:19:00Z</dcterms:created>
  <dcterms:modified xsi:type="dcterms:W3CDTF">2024-12-19T21:02:00Z</dcterms:modified>
</cp:coreProperties>
</file>