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ED75" w14:textId="77777777" w:rsidR="004C238F" w:rsidRPr="00DF7817" w:rsidRDefault="004C238F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"/>
        <w:gridCol w:w="22"/>
        <w:gridCol w:w="756"/>
        <w:gridCol w:w="162"/>
        <w:gridCol w:w="378"/>
        <w:gridCol w:w="180"/>
        <w:gridCol w:w="2419"/>
        <w:gridCol w:w="695"/>
        <w:gridCol w:w="990"/>
        <w:gridCol w:w="1984"/>
      </w:tblGrid>
      <w:tr w:rsidR="004C238F" w:rsidRPr="00DF7817" w14:paraId="3BE363E9" w14:textId="77777777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1B3702D" w14:textId="77777777" w:rsidR="004C238F" w:rsidRPr="002C513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AC0904" w14:paraId="5528B61B" w14:textId="77777777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D7CBB43" w14:textId="77777777" w:rsidR="004C238F" w:rsidRPr="002C513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DF7817" w14:paraId="1C35BCD4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15DF0F90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964D46A" w14:textId="77777777" w:rsidR="004C238F" w:rsidRPr="002C513D" w:rsidRDefault="00F24AF8">
            <w:pPr>
              <w:pStyle w:val="Ttulo6"/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C513D">
              <w:rPr>
                <w:rFonts w:ascii="Open Sans" w:hAnsi="Open Sans" w:cs="Open Sans"/>
                <w:b w:val="0"/>
                <w:color w:val="000000"/>
                <w:sz w:val="24"/>
              </w:rPr>
              <w:t>O SO</w:t>
            </w:r>
            <w:r w:rsidR="004E2EC4" w:rsidRPr="002C513D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 CLEAN</w:t>
            </w:r>
          </w:p>
        </w:tc>
      </w:tr>
      <w:tr w:rsidR="004C238F" w:rsidRPr="00DF7817" w14:paraId="7BD7CBCE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5499CE15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B83D6E5" w14:textId="77777777" w:rsidR="00574E17" w:rsidRPr="002C513D" w:rsidRDefault="00574E17" w:rsidP="00574E17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C513D">
              <w:rPr>
                <w:rFonts w:ascii="Open Sans" w:hAnsi="Open Sans" w:cs="Open Sans"/>
                <w:b w:val="0"/>
                <w:color w:val="000000"/>
                <w:sz w:val="24"/>
              </w:rPr>
              <w:t>Total Solutions</w:t>
            </w:r>
          </w:p>
        </w:tc>
      </w:tr>
      <w:tr w:rsidR="004C238F" w:rsidRPr="00DF7817" w14:paraId="5AC8D9AD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20B29C04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F181ACB" w14:textId="77777777" w:rsidR="004C238F" w:rsidRPr="002C513D" w:rsidRDefault="008E22FA">
            <w:pPr>
              <w:ind w:right="875"/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Limpiador en polvo</w:t>
            </w:r>
            <w:r w:rsidR="00574E17"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oxigenado</w:t>
            </w:r>
          </w:p>
        </w:tc>
      </w:tr>
      <w:tr w:rsidR="004C238F" w:rsidRPr="00AC0904" w14:paraId="7D576191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653AC78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30C63A4" w14:textId="77777777" w:rsidR="004C238F" w:rsidRPr="002C513D" w:rsidRDefault="002C513D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>
              <w:rPr>
                <w:rFonts w:ascii="Open Sans" w:hAnsi="Open Sans" w:cs="Open Sans"/>
                <w:bCs/>
                <w:color w:val="000000"/>
                <w:lang w:val="es-CR"/>
              </w:rPr>
              <w:t>Corporación de Costa Rica S.A.</w:t>
            </w:r>
          </w:p>
        </w:tc>
      </w:tr>
      <w:tr w:rsidR="004C238F" w:rsidRPr="00AC0904" w14:paraId="5A32E1FC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1C46F376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8F6AC0A" w14:textId="77777777" w:rsidR="004C238F" w:rsidRPr="002C513D" w:rsidRDefault="004C238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300 metros este de la Trefilería Colima, Colima de Tibas, San José, Costa Rica.</w:t>
            </w:r>
          </w:p>
        </w:tc>
      </w:tr>
      <w:tr w:rsidR="004C238F" w:rsidRPr="00DF7817" w14:paraId="157540D4" w14:textId="77777777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D145F07" w14:textId="77777777" w:rsidR="004C238F" w:rsidRPr="002C513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18E919E" w14:textId="77777777" w:rsidR="004C238F" w:rsidRPr="002C513D" w:rsidRDefault="004C238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Costa Rica</w:t>
            </w:r>
          </w:p>
        </w:tc>
      </w:tr>
      <w:tr w:rsidR="004C238F" w:rsidRPr="00DF7817" w14:paraId="4ECC05C2" w14:textId="77777777" w:rsidTr="00440480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4E44C41B" w14:textId="77777777" w:rsidR="004C238F" w:rsidRPr="002C513D" w:rsidRDefault="004C238F">
            <w:pPr>
              <w:pStyle w:val="Ttulo4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2C513D">
              <w:rPr>
                <w:rFonts w:ascii="Open Sans" w:hAnsi="Open Sans" w:cs="Open Sans"/>
                <w:color w:val="000000"/>
                <w:sz w:val="24"/>
                <w:szCs w:val="24"/>
              </w:rPr>
              <w:t>N° DE TELEFONO</w:t>
            </w:r>
          </w:p>
        </w:tc>
        <w:tc>
          <w:tcPr>
            <w:tcW w:w="1550" w:type="dxa"/>
            <w:gridSpan w:val="6"/>
            <w:shd w:val="clear" w:color="000000" w:fill="FFFFFF"/>
          </w:tcPr>
          <w:p w14:paraId="3F241766" w14:textId="77777777" w:rsidR="004C238F" w:rsidRPr="00DF7817" w:rsidRDefault="004C238F">
            <w:pPr>
              <w:jc w:val="both"/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66A28ADB" w14:textId="77777777" w:rsidR="004C238F" w:rsidRPr="00DF7817" w:rsidRDefault="004C238F">
            <w:pPr>
              <w:jc w:val="both"/>
              <w:rPr>
                <w:b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N° DE FAX</w:t>
            </w:r>
            <w:r w:rsidRPr="00DF7817"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4B5D57E" w14:textId="77777777" w:rsidR="004C238F" w:rsidRPr="00DF7817" w:rsidRDefault="004C238F">
            <w:pPr>
              <w:jc w:val="both"/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2297-1344</w:t>
            </w:r>
          </w:p>
        </w:tc>
      </w:tr>
      <w:tr w:rsidR="004C238F" w:rsidRPr="00DF7817" w14:paraId="59FFE4D2" w14:textId="77777777" w:rsidTr="00440480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0405CC28" w14:textId="77777777" w:rsidR="004C238F" w:rsidRPr="002C513D" w:rsidRDefault="004C238F">
            <w:pPr>
              <w:pStyle w:val="Ttulo4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2C513D">
              <w:rPr>
                <w:rFonts w:ascii="Open Sans" w:hAnsi="Open Sans" w:cs="Open Sans"/>
                <w:color w:val="000000"/>
                <w:sz w:val="24"/>
                <w:szCs w:val="24"/>
              </w:rPr>
              <w:t>TELÉFONOS DE EMERGENCIA</w:t>
            </w:r>
          </w:p>
        </w:tc>
        <w:tc>
          <w:tcPr>
            <w:tcW w:w="7638" w:type="dxa"/>
            <w:gridSpan w:val="10"/>
            <w:shd w:val="clear" w:color="000000" w:fill="FFFFFF"/>
          </w:tcPr>
          <w:p w14:paraId="6D75C47D" w14:textId="77777777" w:rsidR="004C238F" w:rsidRPr="00DF7817" w:rsidRDefault="004C238F">
            <w:pPr>
              <w:jc w:val="both"/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911</w:t>
            </w:r>
            <w:r w:rsidR="0044048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/ 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(506) 2223 1028 Centro Nacional de Intoxicaciones</w:t>
            </w:r>
          </w:p>
        </w:tc>
      </w:tr>
      <w:tr w:rsidR="004C238F" w:rsidRPr="00DF7817" w14:paraId="791FDE5B" w14:textId="77777777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48FA3E68" w14:textId="77777777" w:rsidR="004C238F" w:rsidRPr="002C513D" w:rsidRDefault="004C238F">
            <w:pPr>
              <w:pStyle w:val="Ttulo8"/>
              <w:rPr>
                <w:rFonts w:ascii="Open Sans" w:hAnsi="Open Sans" w:cs="Open Sans"/>
                <w:color w:val="000000"/>
              </w:rPr>
            </w:pPr>
            <w:r w:rsidRPr="002C513D">
              <w:rPr>
                <w:rFonts w:ascii="Open Sans" w:hAnsi="Open Sans" w:cs="Open Sans"/>
                <w:color w:val="000000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338E7C2" w14:textId="519F6862" w:rsidR="004C238F" w:rsidRPr="002C513D" w:rsidRDefault="00AC0904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27Marz24</w:t>
            </w:r>
          </w:p>
        </w:tc>
      </w:tr>
      <w:tr w:rsidR="004C238F" w:rsidRPr="00DF7817" w14:paraId="2A154A32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6A243F1" w14:textId="77777777" w:rsidR="004C238F" w:rsidRPr="002C513D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DF7817" w14:paraId="6CA3C383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DCC2B3F" w14:textId="77777777" w:rsidR="004C238F" w:rsidRPr="002C513D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DF7817" w14:paraId="4E4054D2" w14:textId="77777777">
        <w:trPr>
          <w:cantSplit/>
          <w:jc w:val="center"/>
        </w:trPr>
        <w:tc>
          <w:tcPr>
            <w:tcW w:w="5368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14:paraId="61905832" w14:textId="77777777" w:rsidR="00E0632F" w:rsidRPr="00DF7817" w:rsidRDefault="00E0632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9946DAC" w14:textId="77777777" w:rsidR="00E0632F" w:rsidRPr="00DF7817" w:rsidRDefault="00B37C5D" w:rsidP="00E0632F">
            <w:pPr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9</w:t>
            </w:r>
            <w:r w:rsidR="00E91CEF"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. 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Misceláneos</w:t>
            </w:r>
            <w:r w:rsidR="00E91CEF" w:rsidRPr="00DF7817">
              <w:rPr>
                <w:lang w:val="es-CR"/>
              </w:rPr>
              <w:t xml:space="preserve"> </w:t>
            </w:r>
          </w:p>
        </w:tc>
      </w:tr>
      <w:tr w:rsidR="00E0632F" w:rsidRPr="00DF7817" w14:paraId="2B7863A8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502E784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AC0904" w14:paraId="7CE0E14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494006B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DF7817" w14:paraId="413B0D50" w14:textId="77777777" w:rsidTr="00440480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5A2F943F" w14:textId="77777777" w:rsidR="00E0632F" w:rsidRPr="002C513D" w:rsidRDefault="00E0632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E570FEC" w14:textId="77777777" w:rsidR="00E0632F" w:rsidRPr="002C513D" w:rsidRDefault="00E0632F" w:rsidP="0044048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1D0AC52D" w14:textId="77777777" w:rsidR="00E0632F" w:rsidRPr="002C513D" w:rsidRDefault="00E0632F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N° de CAS</w:t>
            </w:r>
          </w:p>
        </w:tc>
      </w:tr>
      <w:tr w:rsidR="006B6350" w:rsidRPr="00DF7817" w14:paraId="4B7A499E" w14:textId="77777777" w:rsidTr="00440480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117A9839" w14:textId="77777777" w:rsidR="006B6350" w:rsidRPr="002C513D" w:rsidRDefault="006B6350" w:rsidP="006B6350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Carbonato de sodio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72E743D" w14:textId="77777777" w:rsidR="006B6350" w:rsidRPr="002C513D" w:rsidRDefault="006B6350" w:rsidP="00440480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10-20</w:t>
            </w:r>
          </w:p>
        </w:tc>
        <w:tc>
          <w:tcPr>
            <w:tcW w:w="1984" w:type="dxa"/>
            <w:shd w:val="clear" w:color="000000" w:fill="FFFFFF"/>
          </w:tcPr>
          <w:p w14:paraId="3C2DFE1C" w14:textId="77777777" w:rsidR="006B6350" w:rsidRPr="002C513D" w:rsidRDefault="006B6350" w:rsidP="00440480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497-19-8</w:t>
            </w:r>
          </w:p>
        </w:tc>
      </w:tr>
      <w:tr w:rsidR="006B6350" w:rsidRPr="00DF7817" w14:paraId="19B23ED2" w14:textId="77777777" w:rsidTr="00440480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2D671D3F" w14:textId="77777777" w:rsidR="006B6350" w:rsidRPr="002C513D" w:rsidRDefault="006B6350" w:rsidP="006B6350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Percarbonato de sodio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7D9D479" w14:textId="77777777" w:rsidR="006B6350" w:rsidRPr="002C513D" w:rsidRDefault="006B6350" w:rsidP="00440480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67-87</w:t>
            </w:r>
          </w:p>
        </w:tc>
        <w:tc>
          <w:tcPr>
            <w:tcW w:w="1984" w:type="dxa"/>
            <w:shd w:val="clear" w:color="000000" w:fill="FFFFFF"/>
          </w:tcPr>
          <w:p w14:paraId="2AB916F3" w14:textId="77777777" w:rsidR="006B6350" w:rsidRPr="002C513D" w:rsidRDefault="006B6350" w:rsidP="00440480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15630-89-4</w:t>
            </w:r>
          </w:p>
        </w:tc>
      </w:tr>
      <w:tr w:rsidR="00E0632F" w:rsidRPr="00DF7817" w14:paraId="13E2693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620D042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AC0904" w14:paraId="529156F4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FEC2D43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DF7817" w14:paraId="5C8B8D24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CC1B2F9" w14:textId="77777777" w:rsidR="00E0632F" w:rsidRPr="002C513D" w:rsidRDefault="00E0632F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DFBB641" w14:textId="77777777" w:rsidR="00E0632F" w:rsidRPr="002C513D" w:rsidRDefault="00E0632F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DETALLE</w:t>
            </w:r>
          </w:p>
        </w:tc>
      </w:tr>
      <w:tr w:rsidR="00BE40F9" w:rsidRPr="00AC0904" w14:paraId="5AE5D9DA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0B27A63" w14:textId="77777777" w:rsidR="00BE40F9" w:rsidRPr="002C513D" w:rsidRDefault="00BE40F9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  <w:color w:val="000000"/>
              </w:rPr>
            </w:pPr>
            <w:r w:rsidRPr="002C513D">
              <w:rPr>
                <w:rFonts w:ascii="Open Sans" w:hAnsi="Open Sans" w:cs="Open Sans"/>
                <w:color w:val="000000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A0E1FC7" w14:textId="77777777" w:rsidR="00BE40F9" w:rsidRPr="002C513D" w:rsidRDefault="00A208C0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Causa i</w:t>
            </w:r>
            <w:r w:rsidR="00BE40F9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rritación del sistema respiratorio.</w:t>
            </w:r>
          </w:p>
        </w:tc>
      </w:tr>
      <w:tr w:rsidR="00BE40F9" w:rsidRPr="00AC0904" w14:paraId="47DA7DAE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EE361C1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429EF9F" w14:textId="77777777" w:rsidR="00BA176B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Irritación gastrointestinal, náuseas</w:t>
            </w:r>
            <w:r w:rsidR="00A208C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y 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vómitos.</w:t>
            </w:r>
          </w:p>
        </w:tc>
      </w:tr>
      <w:tr w:rsidR="00BE40F9" w:rsidRPr="00AC0904" w14:paraId="2837D6B4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4144AAA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981160E" w14:textId="77777777" w:rsidR="00FA69FF" w:rsidRPr="002C513D" w:rsidRDefault="00BA176B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Causa severa irritación y enrojecimiento.</w:t>
            </w:r>
          </w:p>
        </w:tc>
      </w:tr>
      <w:tr w:rsidR="00BE40F9" w:rsidRPr="00AC0904" w14:paraId="007F714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134730A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42DEA39" w14:textId="77777777" w:rsidR="00BE40F9" w:rsidRPr="002C513D" w:rsidRDefault="00FA69FF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El contacto prolongado causa irritación,  e</w:t>
            </w:r>
            <w:r w:rsidR="00BE40F9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nrojecimiento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y </w:t>
            </w:r>
            <w:r w:rsidR="00BE40F9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resequedad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.</w:t>
            </w:r>
          </w:p>
        </w:tc>
      </w:tr>
      <w:tr w:rsidR="00BE40F9" w:rsidRPr="00FA69FF" w14:paraId="35E1BE1B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428F381" w14:textId="77777777" w:rsidR="00BE40F9" w:rsidRPr="002C513D" w:rsidRDefault="00BE40F9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  <w:color w:val="000000"/>
              </w:rPr>
            </w:pPr>
            <w:r w:rsidRPr="002C513D">
              <w:rPr>
                <w:rFonts w:ascii="Open Sans" w:hAnsi="Open Sans" w:cs="Open Sans"/>
                <w:color w:val="000000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2125F61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FA69FF" w14:paraId="524AA5C0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046D3EF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83D49F3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FA69FF" w14:paraId="75C8B97A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4C5929D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lastRenderedPageBreak/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A965F08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FA69FF" w14:paraId="6EDFA324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0807C06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C22D203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DF7817" w14:paraId="56390F2B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482850E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E372FFE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DF7817" w14:paraId="20C75609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607D40A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55E614B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DF7817" w14:paraId="5FA5354D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A3C5E4E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8FA914F" w14:textId="77777777" w:rsidR="00BE40F9" w:rsidRPr="002C513D" w:rsidRDefault="00BE40F9" w:rsidP="002C513D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Piel, ojos.</w:t>
            </w:r>
          </w:p>
        </w:tc>
      </w:tr>
      <w:tr w:rsidR="00E0632F" w:rsidRPr="00DF7817" w14:paraId="2EFBC0F1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FFAAE40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DF7817" w14:paraId="3DD46D36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B25A26A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PRIMEROS AUXILIOS</w:t>
            </w:r>
          </w:p>
        </w:tc>
      </w:tr>
      <w:tr w:rsidR="00BE40F9" w:rsidRPr="00DF7817" w14:paraId="257CB406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96E8D02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12437C7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BE40F9" w:rsidRPr="00AC0904" w14:paraId="047AF225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C12FEC8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FC505C3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Lavarse con agua y jabón. Si la irritación persiste obtener atención médica.</w:t>
            </w:r>
          </w:p>
        </w:tc>
      </w:tr>
      <w:tr w:rsidR="00BE40F9" w:rsidRPr="00AC0904" w14:paraId="3B661548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BA822EB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C509B63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Llevar la persona al aire fresco.</w:t>
            </w:r>
          </w:p>
        </w:tc>
      </w:tr>
      <w:tr w:rsidR="00BE40F9" w:rsidRPr="00AC0904" w14:paraId="25BA8C59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64B4FC9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240A9B0" w14:textId="44952347" w:rsidR="00BE40F9" w:rsidRPr="002C513D" w:rsidRDefault="008F6D61" w:rsidP="00FA69F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Contactar un médico o centro de control de intoxicación inmediatamente. Dar a la persona 1 a 2 vasos de agua. No inducir el vómito a menos que sea instruido por un médico o el centro de intoxicación.</w:t>
            </w:r>
          </w:p>
        </w:tc>
      </w:tr>
      <w:tr w:rsidR="00BE40F9" w:rsidRPr="00DF7817" w14:paraId="096316E5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  <w:vAlign w:val="center"/>
          </w:tcPr>
          <w:p w14:paraId="00A6E9C8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E636105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</w:p>
          <w:p w14:paraId="658DBB9B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disponible.</w:t>
            </w:r>
          </w:p>
        </w:tc>
      </w:tr>
      <w:tr w:rsidR="00BE40F9" w:rsidRPr="00DF7817" w14:paraId="1C13BDB8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9720870" w14:textId="77777777" w:rsidR="00BE40F9" w:rsidRPr="002C513D" w:rsidRDefault="00BE40F9" w:rsidP="002C513D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6BA81D5" w14:textId="77777777" w:rsidR="00BE40F9" w:rsidRPr="002C513D" w:rsidRDefault="002923C5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disponible.</w:t>
            </w:r>
          </w:p>
        </w:tc>
      </w:tr>
      <w:tr w:rsidR="00E0632F" w:rsidRPr="00DF7817" w14:paraId="16BC10B8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C62008E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DF7817" w14:paraId="163506D7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7DA211C" w14:textId="77777777" w:rsidR="00E0632F" w:rsidRPr="002C513D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MEDIDAS CONTRA EL FUEGO</w:t>
            </w:r>
          </w:p>
        </w:tc>
      </w:tr>
      <w:tr w:rsidR="00BE40F9" w:rsidRPr="00DF7817" w14:paraId="6614AAC7" w14:textId="77777777">
        <w:trPr>
          <w:cantSplit/>
          <w:trHeight w:val="273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B542D84" w14:textId="77777777" w:rsidR="00BE40F9" w:rsidRPr="002C513D" w:rsidRDefault="00BE40F9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</w:pPr>
            <w:r w:rsidRPr="002C513D"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62D867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DF7817" w14:paraId="0F889510" w14:textId="77777777" w:rsidTr="002C513D">
        <w:trPr>
          <w:cantSplit/>
          <w:trHeight w:val="301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1E87972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 xml:space="preserve">LÍMITES DE INFLAMABILIDAD 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E87EC80" w14:textId="77777777" w:rsidR="00BE40F9" w:rsidRPr="002C513D" w:rsidRDefault="00BE40F9" w:rsidP="009D7B49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</w:t>
            </w:r>
            <w:r w:rsidR="00F43730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aplica.</w:t>
            </w:r>
          </w:p>
        </w:tc>
      </w:tr>
      <w:tr w:rsidR="00BE40F9" w:rsidRPr="00AC0904" w14:paraId="5DE8C0E3" w14:textId="77777777">
        <w:trPr>
          <w:cantSplit/>
          <w:trHeight w:val="65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5CB40E3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184EF2C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Agua, espuma, dióxido de carbono, polvo químico.</w:t>
            </w:r>
          </w:p>
          <w:p w14:paraId="43D8595B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Enfriar los recipientes expuestos al fuego con agua.</w:t>
            </w:r>
          </w:p>
        </w:tc>
      </w:tr>
      <w:tr w:rsidR="00BE40F9" w:rsidRPr="00AC0904" w14:paraId="6B9BE710" w14:textId="77777777">
        <w:trPr>
          <w:cantSplit/>
          <w:trHeight w:val="729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53CB395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4C24347" w14:textId="77777777" w:rsidR="00BE40F9" w:rsidRPr="002C513D" w:rsidRDefault="00BE40F9" w:rsidP="009D7B49">
            <w:pPr>
              <w:pStyle w:val="Ttulo5"/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</w:pPr>
            <w:r w:rsidRPr="002C513D"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BE40F9" w:rsidRPr="00AC0904" w14:paraId="333204A5" w14:textId="77777777">
        <w:trPr>
          <w:cantSplit/>
          <w:trHeight w:val="500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56FC3CB5" w14:textId="77777777" w:rsidR="00BE40F9" w:rsidRPr="002C513D" w:rsidRDefault="00BE40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B1DB2D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La descomposición térmica puede producir óxidos de carbono. </w:t>
            </w:r>
          </w:p>
        </w:tc>
      </w:tr>
      <w:tr w:rsidR="002C513D" w:rsidRPr="00552B96" w14:paraId="272711F8" w14:textId="77777777" w:rsidTr="002C513D">
        <w:trPr>
          <w:cantSplit/>
          <w:trHeight w:val="76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20E909BB" w14:textId="77777777" w:rsidR="002C513D" w:rsidRPr="002C513D" w:rsidRDefault="002C513D" w:rsidP="002C513D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lastRenderedPageBreak/>
              <w:t>SECCIÓN VII</w:t>
            </w:r>
          </w:p>
        </w:tc>
      </w:tr>
      <w:tr w:rsidR="002C513D" w:rsidRPr="00AC0904" w14:paraId="2866C7C8" w14:textId="77777777" w:rsidTr="002C513D">
        <w:trPr>
          <w:cantSplit/>
          <w:trHeight w:val="8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0E91211" w14:textId="77777777" w:rsidR="002C513D" w:rsidRPr="002C513D" w:rsidRDefault="002C513D" w:rsidP="002C513D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MEDIDAS EN CASO DE DERRAME O FUGA</w:t>
            </w:r>
          </w:p>
        </w:tc>
      </w:tr>
      <w:tr w:rsidR="002C513D" w:rsidRPr="00552B96" w14:paraId="6321D4BA" w14:textId="77777777" w:rsidTr="002C513D">
        <w:trPr>
          <w:cantSplit/>
          <w:trHeight w:val="500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A0B0094" w14:textId="77777777" w:rsidR="002C513D" w:rsidRPr="00DF7817" w:rsidRDefault="002C513D" w:rsidP="009D7B49">
            <w:pPr>
              <w:jc w:val="both"/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Ventilar el área y remover toda fuente de ignición. Recoger el material para reusar o poner en un contenedor cerrado apropiado para el desecho. Enjuagar el área con agua</w:t>
            </w:r>
            <w:r w:rsidRPr="002C513D">
              <w:rPr>
                <w:lang w:val="es-CR"/>
              </w:rPr>
              <w:t>.</w:t>
            </w:r>
          </w:p>
        </w:tc>
      </w:tr>
      <w:tr w:rsidR="002C513D" w:rsidRPr="00552B96" w14:paraId="020C18D1" w14:textId="77777777" w:rsidTr="002C513D">
        <w:trPr>
          <w:cantSplit/>
          <w:trHeight w:val="76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23EACECB" w14:textId="77777777" w:rsidR="002C513D" w:rsidRPr="002C513D" w:rsidRDefault="002C513D" w:rsidP="002C513D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SECCIÓN VIII</w:t>
            </w:r>
          </w:p>
        </w:tc>
      </w:tr>
      <w:tr w:rsidR="002C513D" w:rsidRPr="00552B96" w14:paraId="7470A5B1" w14:textId="77777777" w:rsidTr="002C513D">
        <w:trPr>
          <w:cantSplit/>
          <w:trHeight w:val="14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520BFF3" w14:textId="77777777" w:rsidR="002C513D" w:rsidRPr="002C513D" w:rsidRDefault="002C513D" w:rsidP="002C513D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MANIPULACIÓN Y ALMACENAMIENTO</w:t>
            </w:r>
          </w:p>
        </w:tc>
      </w:tr>
      <w:tr w:rsidR="002C513D" w:rsidRPr="00AC0904" w14:paraId="4476B782" w14:textId="77777777" w:rsidTr="002C513D">
        <w:trPr>
          <w:cantSplit/>
          <w:trHeight w:val="211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0917508" w14:textId="77777777" w:rsidR="002C513D" w:rsidRPr="002C513D" w:rsidRDefault="002C513D" w:rsidP="009D7B4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74385F5" w14:textId="77777777" w:rsidR="002C513D" w:rsidRPr="002C513D" w:rsidRDefault="002C513D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almacenar a temperaturas mayores a los 30 °C.</w:t>
            </w:r>
          </w:p>
        </w:tc>
      </w:tr>
      <w:tr w:rsidR="00BE40F9" w:rsidRPr="00AC0904" w14:paraId="0A8B6242" w14:textId="77777777">
        <w:trPr>
          <w:cantSplit/>
          <w:trHeight w:val="382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196AD636" w14:textId="77777777" w:rsidR="00BE40F9" w:rsidRPr="002C513D" w:rsidRDefault="00BE40F9" w:rsidP="00112701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A8A33E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BE40F9" w:rsidRPr="00AC0904" w14:paraId="435A7F12" w14:textId="77777777">
        <w:trPr>
          <w:cantSplit/>
          <w:trHeight w:val="65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0454490" w14:textId="77777777" w:rsidR="00BE40F9" w:rsidRPr="002C513D" w:rsidRDefault="00BE40F9" w:rsidP="00112701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C63FFD6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Mantener el recipiente completamente cerrado cuando no está en uso. </w:t>
            </w:r>
          </w:p>
        </w:tc>
      </w:tr>
      <w:tr w:rsidR="00BE40F9" w:rsidRPr="00AC0904" w14:paraId="3C70928A" w14:textId="77777777">
        <w:trPr>
          <w:cantSplit/>
          <w:trHeight w:val="844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1C9B693" w14:textId="77777777" w:rsidR="00BE40F9" w:rsidRPr="002C513D" w:rsidRDefault="00BE40F9" w:rsidP="00112701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6DE17F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almacenar bajo el sol, calor o atmósferas húmedas.</w:t>
            </w:r>
          </w:p>
        </w:tc>
      </w:tr>
      <w:tr w:rsidR="00477531" w:rsidRPr="00DF7817" w14:paraId="6FEFBF9B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5B29AF7" w14:textId="77777777" w:rsidR="00477531" w:rsidRPr="002C513D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AC0904" w14:paraId="3CB535DF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96A142" w14:textId="77777777" w:rsidR="00477531" w:rsidRPr="002C513D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BE40F9" w:rsidRPr="00DF7817" w14:paraId="0840FC4E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EE07E23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553BB30" w14:textId="77777777" w:rsidR="00BE40F9" w:rsidRPr="002C513D" w:rsidRDefault="00BE40F9" w:rsidP="009D7B49">
            <w:pPr>
              <w:pStyle w:val="Ttulo5"/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</w:pPr>
            <w:r w:rsidRPr="002C513D"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  <w:t>Se recomienda ventilación local.</w:t>
            </w:r>
          </w:p>
        </w:tc>
      </w:tr>
      <w:tr w:rsidR="00BE40F9" w:rsidRPr="00DF7817" w14:paraId="388B0C76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01BE3F9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905A4AC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Usar con adecuada ventilación.</w:t>
            </w:r>
          </w:p>
        </w:tc>
      </w:tr>
      <w:tr w:rsidR="00BE40F9" w:rsidRPr="00DF7817" w14:paraId="5B986D59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969EAA0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F5ADB35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Anteojos de seguridad.</w:t>
            </w:r>
          </w:p>
        </w:tc>
      </w:tr>
      <w:tr w:rsidR="00BE40F9" w:rsidRPr="00DF7817" w14:paraId="57EE422E" w14:textId="77777777" w:rsidTr="002C513D">
        <w:trPr>
          <w:cantSplit/>
          <w:trHeight w:val="238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1A7DB28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F8F4F9F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Ninguno.</w:t>
            </w:r>
          </w:p>
        </w:tc>
      </w:tr>
      <w:tr w:rsidR="00BE40F9" w:rsidRPr="006B6350" w14:paraId="046B4A92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6A6DC59F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043644B" w14:textId="77777777" w:rsidR="002923C5" w:rsidRPr="002C513D" w:rsidRDefault="002923C5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están determinados.</w:t>
            </w:r>
          </w:p>
        </w:tc>
      </w:tr>
      <w:tr w:rsidR="00477531" w:rsidRPr="00DF7817" w14:paraId="7C455A99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31874CB" w14:textId="77777777" w:rsidR="00477531" w:rsidRPr="002C513D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DF7817" w14:paraId="352F77AA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BB18B08" w14:textId="77777777" w:rsidR="00477531" w:rsidRPr="002C513D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BE40F9" w:rsidRPr="003C2DCC" w14:paraId="33D13811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790E92B7" w14:textId="77777777" w:rsidR="00BE40F9" w:rsidRPr="002C513D" w:rsidRDefault="00BE40F9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</w:pPr>
            <w:r w:rsidRPr="002C513D"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F1F6E24" w14:textId="77777777" w:rsidR="00BE40F9" w:rsidRPr="002C513D" w:rsidRDefault="00BE40F9" w:rsidP="003C2DCC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Polv</w:t>
            </w:r>
            <w:r w:rsidR="00390F66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o blanco inodoro</w:t>
            </w:r>
          </w:p>
        </w:tc>
      </w:tr>
      <w:tr w:rsidR="00BE40F9" w:rsidRPr="006B6350" w14:paraId="76D104C7" w14:textId="77777777">
        <w:trPr>
          <w:cantSplit/>
          <w:jc w:val="center"/>
        </w:trPr>
        <w:tc>
          <w:tcPr>
            <w:tcW w:w="5188" w:type="dxa"/>
            <w:gridSpan w:val="6"/>
            <w:shd w:val="clear" w:color="auto" w:fill="FFFFFF"/>
          </w:tcPr>
          <w:p w14:paraId="7C60A79C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30AF7CC" w14:textId="77777777" w:rsidR="00267586" w:rsidRPr="002C513D" w:rsidRDefault="00BA55C1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>
              <w:rPr>
                <w:rFonts w:ascii="Open Sans" w:hAnsi="Open Sans" w:cs="Open Sans"/>
                <w:bCs/>
                <w:color w:val="000000"/>
                <w:lang w:val="es-CR"/>
              </w:rPr>
              <w:t>No aplica</w:t>
            </w:r>
            <w:r w:rsidR="00267586" w:rsidRPr="002C513D">
              <w:rPr>
                <w:rFonts w:ascii="Open Sans" w:hAnsi="Open Sans" w:cs="Open Sans"/>
                <w:bCs/>
                <w:color w:val="000000"/>
                <w:lang w:val="es-CR"/>
              </w:rPr>
              <w:t>.</w:t>
            </w:r>
          </w:p>
        </w:tc>
      </w:tr>
      <w:tr w:rsidR="00BE40F9" w:rsidRPr="00DF7817" w14:paraId="75AE139A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BB144EC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ADEAAC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</w:p>
          <w:p w14:paraId="2D10B9A1" w14:textId="77777777" w:rsidR="00BE40F9" w:rsidRPr="002C513D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Soluble en agua</w:t>
            </w:r>
          </w:p>
        </w:tc>
      </w:tr>
      <w:tr w:rsidR="00BE40F9" w:rsidRPr="00DF7817" w14:paraId="657DDD37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3232EB0A" w14:textId="77777777" w:rsidR="00BE40F9" w:rsidRPr="002C513D" w:rsidRDefault="00BE40F9" w:rsidP="00112701">
            <w:pPr>
              <w:pStyle w:val="Ttulo9"/>
              <w:rPr>
                <w:rFonts w:ascii="Open Sans" w:hAnsi="Open Sans" w:cs="Open Sans"/>
                <w:color w:val="000000"/>
              </w:rPr>
            </w:pPr>
            <w:r w:rsidRPr="002C513D">
              <w:rPr>
                <w:rFonts w:ascii="Open Sans" w:hAnsi="Open Sans" w:cs="Open Sans"/>
                <w:color w:val="000000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66FAE48" w14:textId="77777777" w:rsidR="00BE40F9" w:rsidRPr="002C513D" w:rsidRDefault="00630E5F" w:rsidP="003C2DCC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está determinado.</w:t>
            </w:r>
          </w:p>
        </w:tc>
      </w:tr>
      <w:tr w:rsidR="00BE40F9" w:rsidRPr="00DF7817" w14:paraId="52F02E4C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89C77C0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5AAC264" w14:textId="77777777" w:rsidR="00BE40F9" w:rsidRPr="002C513D" w:rsidRDefault="003C2DCC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No aplica</w:t>
            </w:r>
          </w:p>
        </w:tc>
      </w:tr>
      <w:tr w:rsidR="00BE40F9" w:rsidRPr="00DF7817" w14:paraId="7833C8C9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632D0DBF" w14:textId="77777777" w:rsidR="00BE40F9" w:rsidRPr="002C513D" w:rsidRDefault="00BE40F9" w:rsidP="00267586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pH</w:t>
            </w:r>
            <w:r w:rsidR="00267586" w:rsidRPr="002C513D">
              <w:rPr>
                <w:rFonts w:ascii="Open Sans" w:hAnsi="Open Sans" w:cs="Open Sans"/>
                <w:b/>
                <w:color w:val="000000"/>
                <w:lang w:val="es-CR"/>
              </w:rPr>
              <w:t xml:space="preserve"> al </w:t>
            </w:r>
            <w:r w:rsidR="00390F66" w:rsidRPr="002C513D">
              <w:rPr>
                <w:rFonts w:ascii="Open Sans" w:hAnsi="Open Sans" w:cs="Open Sans"/>
                <w:b/>
                <w:color w:val="000000"/>
                <w:lang w:val="es-CR"/>
              </w:rPr>
              <w:t>1%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75470E" w14:textId="77777777" w:rsidR="00BE40F9" w:rsidRPr="002C513D" w:rsidRDefault="00F1342C" w:rsidP="009D7B49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10.30-12.00</w:t>
            </w:r>
          </w:p>
        </w:tc>
      </w:tr>
      <w:tr w:rsidR="00BE40F9" w:rsidRPr="006B6350" w14:paraId="20246694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75AACC04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4619F2E" w14:textId="77777777" w:rsidR="00267586" w:rsidRPr="002C513D" w:rsidRDefault="00267586" w:rsidP="00BA55C1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No </w:t>
            </w:r>
            <w:r w:rsidR="00BA55C1">
              <w:rPr>
                <w:rFonts w:ascii="Open Sans" w:hAnsi="Open Sans" w:cs="Open Sans"/>
                <w:bCs/>
                <w:color w:val="000000"/>
                <w:lang w:val="es-CR"/>
              </w:rPr>
              <w:t>aplica</w:t>
            </w: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.</w:t>
            </w:r>
          </w:p>
        </w:tc>
      </w:tr>
      <w:tr w:rsidR="00BE40F9" w:rsidRPr="00DF7817" w14:paraId="3C00225C" w14:textId="77777777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F7FFE74" w14:textId="77777777" w:rsidR="00BE40F9" w:rsidRPr="002C513D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lastRenderedPageBreak/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C5174F1" w14:textId="77777777" w:rsidR="00333C37" w:rsidRPr="002C513D" w:rsidRDefault="00333C37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Sólido (Polvo).</w:t>
            </w:r>
          </w:p>
        </w:tc>
      </w:tr>
      <w:tr w:rsidR="00977835" w:rsidRPr="00AC0904" w14:paraId="79535A3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C32F0F8" w14:textId="77777777" w:rsidR="00977835" w:rsidRPr="00DF7817" w:rsidRDefault="00977835" w:rsidP="00112701">
            <w:pPr>
              <w:jc w:val="both"/>
              <w:rPr>
                <w:lang w:val="es-CR"/>
              </w:rPr>
            </w:pPr>
            <w:r w:rsidRPr="002C513D">
              <w:rPr>
                <w:rFonts w:ascii="Open Sans" w:hAnsi="Open Sans" w:cs="Open Sans"/>
                <w:bCs/>
                <w:color w:val="000000"/>
                <w:lang w:val="es-CR"/>
              </w:rPr>
              <w:t>Debe indicarse la temperatura a que fue obtenido el parámetro.</w:t>
            </w:r>
          </w:p>
        </w:tc>
      </w:tr>
      <w:tr w:rsidR="00977835" w:rsidRPr="00DF7817" w14:paraId="0E63E47A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DB90790" w14:textId="77777777" w:rsidR="00977835" w:rsidRPr="002C513D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XI</w:t>
            </w:r>
          </w:p>
        </w:tc>
      </w:tr>
      <w:tr w:rsidR="00977835" w:rsidRPr="00DF7817" w14:paraId="3473CDAC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940C289" w14:textId="77777777" w:rsidR="00977835" w:rsidRPr="002C513D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ESTABILIDAD Y REACTIVIDAD</w:t>
            </w:r>
          </w:p>
        </w:tc>
      </w:tr>
      <w:tr w:rsidR="00BE40F9" w:rsidRPr="00AC0904" w14:paraId="4C241FEF" w14:textId="77777777" w:rsidTr="00BA55C1">
        <w:trPr>
          <w:cantSplit/>
          <w:trHeight w:val="300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59A61966" w14:textId="77777777" w:rsidR="00BE40F9" w:rsidRPr="00BA55C1" w:rsidRDefault="00BE40F9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</w:pPr>
            <w:r w:rsidRPr="00BA55C1">
              <w:rPr>
                <w:rFonts w:ascii="Open Sans" w:hAnsi="Open Sans" w:cs="Open Sans"/>
                <w:color w:val="000000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542936B2" w14:textId="77777777" w:rsidR="00BE40F9" w:rsidRPr="00BA55C1" w:rsidRDefault="00BE40F9" w:rsidP="00CF5911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Estable. Evitar fuentes de calor, humedad.</w:t>
            </w:r>
          </w:p>
        </w:tc>
      </w:tr>
      <w:tr w:rsidR="00BE40F9" w:rsidRPr="00AC0904" w14:paraId="688A9DC0" w14:textId="77777777" w:rsidTr="00BA55C1">
        <w:trPr>
          <w:cantSplit/>
          <w:trHeight w:val="165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0E9E26D" w14:textId="77777777" w:rsidR="00BE40F9" w:rsidRPr="00BA55C1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INCOMPATIBILIDAD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47A037D4" w14:textId="77777777" w:rsidR="00BE40F9" w:rsidRPr="00BA55C1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Ácidos, bases, agentes reductores, sustancias inflamables.</w:t>
            </w:r>
          </w:p>
        </w:tc>
      </w:tr>
      <w:tr w:rsidR="00BE40F9" w:rsidRPr="00DF7817" w14:paraId="68169F6B" w14:textId="77777777" w:rsidTr="00BA55C1">
        <w:trPr>
          <w:cantSplit/>
          <w:trHeight w:val="237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8D2B182" w14:textId="77777777" w:rsidR="00BE40F9" w:rsidRPr="00BA55C1" w:rsidRDefault="00BE40F9" w:rsidP="00112701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  <w:color w:val="000000"/>
              </w:rPr>
            </w:pPr>
            <w:r w:rsidRPr="00BA55C1">
              <w:rPr>
                <w:rFonts w:ascii="Open Sans" w:hAnsi="Open Sans" w:cs="Open Sans"/>
                <w:color w:val="000000"/>
              </w:rPr>
              <w:t>RIEGOS DE POLIMERIZACIÓN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35F08B23" w14:textId="77777777" w:rsidR="00BE40F9" w:rsidRPr="00BA55C1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No ocurrirá. </w:t>
            </w:r>
          </w:p>
        </w:tc>
      </w:tr>
      <w:tr w:rsidR="00BE40F9" w:rsidRPr="00AC0904" w14:paraId="715C06A9" w14:textId="77777777" w:rsidTr="00BA55C1">
        <w:trPr>
          <w:cantSplit/>
          <w:trHeight w:val="569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46EEC6AE" w14:textId="77777777" w:rsidR="00BE40F9" w:rsidRPr="00BA55C1" w:rsidRDefault="00BE40F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5148CFE3" w14:textId="77777777" w:rsidR="00BE40F9" w:rsidRPr="00BA55C1" w:rsidRDefault="00BE40F9" w:rsidP="009D7B49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La descomposición puede producir óxidos de carbono.</w:t>
            </w:r>
          </w:p>
        </w:tc>
      </w:tr>
      <w:tr w:rsidR="00375520" w:rsidRPr="00440480" w14:paraId="1407FCA5" w14:textId="77777777" w:rsidTr="00375520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7278815F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SECCIÓN XII</w:t>
            </w:r>
          </w:p>
        </w:tc>
      </w:tr>
      <w:tr w:rsidR="00375520" w:rsidRPr="00440480" w14:paraId="2B003ADA" w14:textId="77777777" w:rsidTr="00375520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1740569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INFORMACIÓN SOBRE TOXICOLOGÍA</w:t>
            </w:r>
          </w:p>
        </w:tc>
      </w:tr>
      <w:tr w:rsidR="00375520" w:rsidRPr="00AC0904" w14:paraId="18C39718" w14:textId="77777777" w:rsidTr="00375520">
        <w:trPr>
          <w:cantSplit/>
          <w:trHeight w:val="222"/>
          <w:jc w:val="center"/>
        </w:trPr>
        <w:tc>
          <w:tcPr>
            <w:tcW w:w="4810" w:type="dxa"/>
            <w:gridSpan w:val="5"/>
            <w:shd w:val="clear" w:color="000000" w:fill="FFFFFF"/>
          </w:tcPr>
          <w:p w14:paraId="42DE8F64" w14:textId="77777777" w:rsidR="00375520" w:rsidRPr="00BA55C1" w:rsidRDefault="00375520" w:rsidP="003C2DCC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DOSIS LETAL MEDIA ORAL (DL</w:t>
            </w:r>
            <w:r w:rsidRPr="00BA55C1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6F2FD321" w14:textId="77777777" w:rsidR="00375520" w:rsidRPr="00BA55C1" w:rsidRDefault="00375520" w:rsidP="003C2DCC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Dosis aproximada DL</w:t>
            </w:r>
            <w:r w:rsidRPr="00BA55C1">
              <w:rPr>
                <w:rFonts w:ascii="Open Sans" w:hAnsi="Open Sans" w:cs="Open Sans"/>
                <w:bCs/>
                <w:color w:val="000000"/>
                <w:vertAlign w:val="subscript"/>
                <w:lang w:val="es-CR"/>
              </w:rPr>
              <w:t>50</w:t>
            </w: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= 1165 mg/kg.</w:t>
            </w:r>
          </w:p>
        </w:tc>
      </w:tr>
      <w:tr w:rsidR="00375520" w:rsidRPr="00AC0904" w14:paraId="42FE25C5" w14:textId="77777777" w:rsidTr="00375520">
        <w:trPr>
          <w:cantSplit/>
          <w:trHeight w:val="222"/>
          <w:jc w:val="center"/>
        </w:trPr>
        <w:tc>
          <w:tcPr>
            <w:tcW w:w="4810" w:type="dxa"/>
            <w:gridSpan w:val="5"/>
            <w:shd w:val="clear" w:color="000000" w:fill="FFFFFF"/>
          </w:tcPr>
          <w:p w14:paraId="2288422C" w14:textId="77777777" w:rsidR="00375520" w:rsidRPr="00BA55C1" w:rsidRDefault="00375520" w:rsidP="003C2DCC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DOSIS LETAL MEDIA DÉRMICA (DL</w:t>
            </w:r>
            <w:r w:rsidRPr="00BA55C1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605F4C47" w14:textId="77777777" w:rsidR="00375520" w:rsidRPr="00BA55C1" w:rsidRDefault="00375520" w:rsidP="003C2DCC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No es determinado para éste producto.</w:t>
            </w:r>
          </w:p>
        </w:tc>
      </w:tr>
      <w:tr w:rsidR="00375520" w:rsidRPr="00AC0904" w14:paraId="77FB0C9C" w14:textId="77777777" w:rsidTr="00375520">
        <w:trPr>
          <w:cantSplit/>
          <w:trHeight w:val="222"/>
          <w:jc w:val="center"/>
        </w:trPr>
        <w:tc>
          <w:tcPr>
            <w:tcW w:w="4810" w:type="dxa"/>
            <w:gridSpan w:val="5"/>
            <w:shd w:val="clear" w:color="000000" w:fill="FFFFFF"/>
          </w:tcPr>
          <w:p w14:paraId="2AFBD893" w14:textId="77777777" w:rsidR="00375520" w:rsidRPr="00BA55C1" w:rsidRDefault="00375520" w:rsidP="003C2DCC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CONCENTRACIÓN LETAL MEDIA POR INHALACIÓN (CL</w:t>
            </w:r>
            <w:r w:rsidRPr="00BA55C1">
              <w:rPr>
                <w:rFonts w:ascii="Open Sans" w:hAnsi="Open Sans" w:cs="Open Sans"/>
                <w:b/>
                <w:color w:val="000000"/>
                <w:vertAlign w:val="subscript"/>
                <w:lang w:val="es-CR"/>
              </w:rPr>
              <w:t>50</w:t>
            </w:r>
            <w:r w:rsidRPr="00BA55C1">
              <w:rPr>
                <w:rFonts w:ascii="Open Sans" w:hAnsi="Open Sans" w:cs="Open Sans"/>
                <w:b/>
                <w:color w:val="000000"/>
                <w:lang w:val="es-CR"/>
              </w:rPr>
              <w:t>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1AB0495C" w14:textId="77777777" w:rsidR="00375520" w:rsidRPr="00BA55C1" w:rsidRDefault="00375520" w:rsidP="003C2DCC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No es determinado para éste producto.</w:t>
            </w:r>
          </w:p>
        </w:tc>
      </w:tr>
      <w:tr w:rsidR="00375520" w:rsidRPr="00440480" w14:paraId="5C3EFEE6" w14:textId="77777777" w:rsidTr="00375520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751FB3BB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SECCIÓN XIII</w:t>
            </w:r>
          </w:p>
        </w:tc>
      </w:tr>
      <w:tr w:rsidR="00375520" w:rsidRPr="00AC0904" w14:paraId="73E5FCFF" w14:textId="77777777" w:rsidTr="003C2DCC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7C5A208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INFORMACIÓN DE LOS EFECTOS SOBRE LA ECOLOGÍA</w:t>
            </w:r>
          </w:p>
        </w:tc>
      </w:tr>
      <w:tr w:rsidR="00375520" w:rsidRPr="00440480" w14:paraId="63E39570" w14:textId="77777777" w:rsidTr="003C2DCC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927B8A6" w14:textId="77777777" w:rsidR="00375520" w:rsidRPr="00375520" w:rsidRDefault="00375520" w:rsidP="00375520">
            <w:pPr>
              <w:jc w:val="center"/>
              <w:rPr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Producto biodegradable.</w:t>
            </w:r>
          </w:p>
        </w:tc>
      </w:tr>
      <w:tr w:rsidR="00375520" w:rsidRPr="00440480" w14:paraId="7D1CD01C" w14:textId="77777777" w:rsidTr="00375520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2CE8E16D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SECCIÓN XIV</w:t>
            </w:r>
          </w:p>
        </w:tc>
      </w:tr>
      <w:tr w:rsidR="00375520" w:rsidRPr="00AC0904" w14:paraId="2FB08624" w14:textId="77777777" w:rsidTr="003C2DCC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568C73E" w14:textId="77777777" w:rsidR="00375520" w:rsidRPr="002C513D" w:rsidRDefault="00375520" w:rsidP="00375520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CONSIDERACIONES SOBRE LA DISPOSICIÓN FINAL DEL PRODUCTO</w:t>
            </w:r>
          </w:p>
        </w:tc>
      </w:tr>
      <w:tr w:rsidR="00375520" w:rsidRPr="00AC0904" w14:paraId="649464A7" w14:textId="77777777" w:rsidTr="003C2DCC">
        <w:trPr>
          <w:cantSplit/>
          <w:trHeight w:val="2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216ED25" w14:textId="77777777" w:rsidR="00375520" w:rsidRPr="00375520" w:rsidRDefault="00375520" w:rsidP="00375520">
            <w:pPr>
              <w:jc w:val="center"/>
              <w:rPr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</w:tbl>
    <w:p w14:paraId="2BE64E0F" w14:textId="77777777" w:rsidR="005F0F46" w:rsidRPr="00DF7817" w:rsidRDefault="005F0F46">
      <w:pPr>
        <w:rPr>
          <w:lang w:val="es-CR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6"/>
      </w:tblGrid>
      <w:tr w:rsidR="005F0F46" w:rsidRPr="00DF7817" w14:paraId="5D20CDA9" w14:textId="77777777">
        <w:trPr>
          <w:cantSplit/>
          <w:jc w:val="center"/>
        </w:trPr>
        <w:tc>
          <w:tcPr>
            <w:tcW w:w="11456" w:type="dxa"/>
            <w:shd w:val="clear" w:color="auto" w:fill="CCCCCC"/>
          </w:tcPr>
          <w:p w14:paraId="3D4D64CC" w14:textId="77777777" w:rsidR="005F0F46" w:rsidRPr="002C513D" w:rsidRDefault="005F0F46" w:rsidP="00306F7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XV</w:t>
            </w:r>
          </w:p>
        </w:tc>
      </w:tr>
      <w:tr w:rsidR="005F0F46" w:rsidRPr="00DF7817" w14:paraId="6BE45BA8" w14:textId="77777777">
        <w:trPr>
          <w:cantSplit/>
          <w:jc w:val="center"/>
        </w:trPr>
        <w:tc>
          <w:tcPr>
            <w:tcW w:w="11456" w:type="dxa"/>
            <w:shd w:val="clear" w:color="000000" w:fill="FFFFFF"/>
          </w:tcPr>
          <w:p w14:paraId="4E7EA748" w14:textId="77777777" w:rsidR="005F0F46" w:rsidRPr="002C513D" w:rsidRDefault="005F0F46" w:rsidP="00306F7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5F0F46" w:rsidRPr="00AC0904" w14:paraId="5225BDAF" w14:textId="77777777">
        <w:trPr>
          <w:cantSplit/>
          <w:trHeight w:val="228"/>
          <w:jc w:val="center"/>
        </w:trPr>
        <w:tc>
          <w:tcPr>
            <w:tcW w:w="11456" w:type="dxa"/>
            <w:shd w:val="clear" w:color="000000" w:fill="FFFFFF"/>
          </w:tcPr>
          <w:p w14:paraId="329D2874" w14:textId="77777777" w:rsidR="00333C37" w:rsidRPr="00DF7817" w:rsidRDefault="005F0F46" w:rsidP="00306F7F">
            <w:pPr>
              <w:jc w:val="both"/>
              <w:rPr>
                <w:bCs/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Este producto puede tener más de un apropiado nombre de envío dependiendo del empaque, propiedades del producto y modo de envío. Si alguna alteración al empaque, producto o modo de transporte, diferentes nombres de envíos pueden aplicar.</w:t>
            </w:r>
          </w:p>
        </w:tc>
      </w:tr>
      <w:tr w:rsidR="005F0F46" w:rsidRPr="00DF7817" w14:paraId="2755FD22" w14:textId="77777777">
        <w:trPr>
          <w:cantSplit/>
          <w:jc w:val="center"/>
        </w:trPr>
        <w:tc>
          <w:tcPr>
            <w:tcW w:w="11456" w:type="dxa"/>
            <w:shd w:val="clear" w:color="auto" w:fill="CCCCCC"/>
          </w:tcPr>
          <w:p w14:paraId="0CEAD0B9" w14:textId="77777777" w:rsidR="005F0F46" w:rsidRPr="002C513D" w:rsidRDefault="005F0F46" w:rsidP="00306F7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SECCIÓN XVI</w:t>
            </w:r>
          </w:p>
        </w:tc>
      </w:tr>
      <w:tr w:rsidR="005F0F46" w:rsidRPr="00DF7817" w14:paraId="3B1CA09F" w14:textId="77777777">
        <w:trPr>
          <w:cantSplit/>
          <w:jc w:val="center"/>
        </w:trPr>
        <w:tc>
          <w:tcPr>
            <w:tcW w:w="11456" w:type="dxa"/>
            <w:shd w:val="clear" w:color="000000" w:fill="FFFFFF"/>
          </w:tcPr>
          <w:p w14:paraId="28DCD679" w14:textId="77777777" w:rsidR="005F0F46" w:rsidRPr="002C513D" w:rsidRDefault="005F0F46" w:rsidP="00306F7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INFORMACIÓN REGULATORIA</w:t>
            </w:r>
          </w:p>
        </w:tc>
      </w:tr>
      <w:tr w:rsidR="005F0F46" w:rsidRPr="00AC0904" w14:paraId="53570EC8" w14:textId="77777777">
        <w:trPr>
          <w:cantSplit/>
          <w:trHeight w:val="255"/>
          <w:jc w:val="center"/>
        </w:trPr>
        <w:tc>
          <w:tcPr>
            <w:tcW w:w="11456" w:type="dxa"/>
            <w:shd w:val="clear" w:color="000000" w:fill="FFFFFF"/>
          </w:tcPr>
          <w:p w14:paraId="544AC43C" w14:textId="77777777" w:rsidR="005F0F46" w:rsidRPr="00DF7817" w:rsidRDefault="005F0F46" w:rsidP="00BA55C1">
            <w:pPr>
              <w:jc w:val="center"/>
              <w:rPr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5F0F46" w:rsidRPr="00DF7817" w14:paraId="7DEE6642" w14:textId="77777777">
        <w:trPr>
          <w:cantSplit/>
          <w:trHeight w:val="240"/>
          <w:jc w:val="center"/>
        </w:trPr>
        <w:tc>
          <w:tcPr>
            <w:tcW w:w="11456" w:type="dxa"/>
            <w:shd w:val="clear" w:color="auto" w:fill="CCCCCC"/>
          </w:tcPr>
          <w:p w14:paraId="4DDEF874" w14:textId="77777777" w:rsidR="005F0F46" w:rsidRPr="002C513D" w:rsidRDefault="005F0F46" w:rsidP="00306F7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5F0F46" w:rsidRPr="00DF7817" w14:paraId="5456B96B" w14:textId="77777777">
        <w:trPr>
          <w:cantSplit/>
          <w:jc w:val="center"/>
        </w:trPr>
        <w:tc>
          <w:tcPr>
            <w:tcW w:w="11456" w:type="dxa"/>
            <w:shd w:val="clear" w:color="000000" w:fill="FFFFFF"/>
          </w:tcPr>
          <w:p w14:paraId="3DD5F64D" w14:textId="77777777" w:rsidR="005F0F46" w:rsidRPr="002C513D" w:rsidRDefault="005F0F46" w:rsidP="00306F7F">
            <w:pPr>
              <w:jc w:val="center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513D">
              <w:rPr>
                <w:rFonts w:ascii="Open Sans" w:hAnsi="Open Sans" w:cs="Open Sans"/>
                <w:b/>
                <w:color w:val="000000"/>
                <w:lang w:val="es-CR"/>
              </w:rPr>
              <w:t>OTRA INFORMACIÓN</w:t>
            </w:r>
          </w:p>
        </w:tc>
      </w:tr>
      <w:tr w:rsidR="005F0F46" w:rsidRPr="00DF7817" w14:paraId="066AF570" w14:textId="77777777">
        <w:trPr>
          <w:cantSplit/>
          <w:trHeight w:val="434"/>
          <w:jc w:val="center"/>
        </w:trPr>
        <w:tc>
          <w:tcPr>
            <w:tcW w:w="11456" w:type="dxa"/>
            <w:shd w:val="clear" w:color="000000" w:fill="FFFFFF"/>
          </w:tcPr>
          <w:p w14:paraId="1E1428B9" w14:textId="77777777" w:rsidR="005F0F46" w:rsidRPr="00DF7817" w:rsidRDefault="005F0F46" w:rsidP="00306F7F">
            <w:pPr>
              <w:jc w:val="both"/>
              <w:rPr>
                <w:lang w:val="es-CR"/>
              </w:rPr>
            </w:pPr>
            <w:r w:rsidRPr="00BA55C1">
              <w:rPr>
                <w:rFonts w:ascii="Open Sans" w:hAnsi="Open Sans" w:cs="Open Sans"/>
                <w:bCs/>
                <w:color w:val="000000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50566DF4" w14:textId="77777777" w:rsidR="005F0F46" w:rsidRPr="00DF7817" w:rsidRDefault="005F0F46" w:rsidP="005F0F46">
      <w:pPr>
        <w:rPr>
          <w:lang w:val="es-CR"/>
        </w:rPr>
      </w:pPr>
    </w:p>
    <w:p w14:paraId="1EC5002F" w14:textId="77777777" w:rsidR="00CA16D6" w:rsidRDefault="00CA16D6">
      <w:pPr>
        <w:rPr>
          <w:lang w:val="es-CR"/>
        </w:rPr>
      </w:pPr>
    </w:p>
    <w:p w14:paraId="06A4DD0D" w14:textId="77777777" w:rsidR="00477531" w:rsidRPr="00DF7817" w:rsidRDefault="00C3480B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C0E441" wp14:editId="6C019C14">
                <wp:simplePos x="0" y="0"/>
                <wp:positionH relativeFrom="column">
                  <wp:posOffset>2419793</wp:posOffset>
                </wp:positionH>
                <wp:positionV relativeFrom="paragraph">
                  <wp:posOffset>8878</wp:posOffset>
                </wp:positionV>
                <wp:extent cx="914400" cy="914400"/>
                <wp:effectExtent l="95250" t="95250" r="95250" b="9525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A3BD8" w14:textId="77777777" w:rsidR="002C513D" w:rsidRPr="00BA55C1" w:rsidRDefault="002C513D" w:rsidP="00C3480B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BA55C1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C0DFF" w14:textId="77777777" w:rsidR="002C513D" w:rsidRPr="00BA55C1" w:rsidRDefault="002C513D" w:rsidP="00C3480B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BA55C1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7C2BE" w14:textId="77777777" w:rsidR="002C513D" w:rsidRPr="00BA55C1" w:rsidRDefault="002C513D" w:rsidP="00C3480B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BA55C1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944FA" w14:textId="77777777" w:rsidR="002C513D" w:rsidRPr="007A590B" w:rsidRDefault="002C513D" w:rsidP="00C3480B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E441" id="Group 71" o:spid="_x0000_s1026" style="position:absolute;margin-left:190.55pt;margin-top:.7pt;width:1in;height:1in;z-index:251659776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" fillcolor="red">
                  <v:textbox>
                    <w:txbxContent>
                      <w:p w14:paraId="744A3BD8" w14:textId="77777777" w:rsidR="002C513D" w:rsidRPr="00BA55C1" w:rsidRDefault="002C513D" w:rsidP="00C3480B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BA55C1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" fillcolor="yellow">
                  <v:textbox>
                    <w:txbxContent>
                      <w:p w14:paraId="54EC0DFF" w14:textId="77777777" w:rsidR="002C513D" w:rsidRPr="00BA55C1" w:rsidRDefault="002C513D" w:rsidP="00C3480B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BA55C1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" fillcolor="blue">
                  <v:textbox>
                    <w:txbxContent>
                      <w:p w14:paraId="36A7C2BE" w14:textId="77777777" w:rsidR="002C513D" w:rsidRPr="00BA55C1" w:rsidRDefault="002C513D" w:rsidP="00C3480B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BA55C1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">
                  <v:textbox>
                    <w:txbxContent>
                      <w:p w14:paraId="1DE944FA" w14:textId="77777777" w:rsidR="002C513D" w:rsidRPr="007A590B" w:rsidRDefault="002C513D" w:rsidP="00C3480B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77531" w:rsidRPr="00DF7817" w:rsidSect="00BA55C1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B4F3" w14:textId="77777777" w:rsidR="00243044" w:rsidRDefault="00243044">
      <w:r>
        <w:separator/>
      </w:r>
    </w:p>
  </w:endnote>
  <w:endnote w:type="continuationSeparator" w:id="0">
    <w:p w14:paraId="31630F00" w14:textId="77777777" w:rsidR="00243044" w:rsidRDefault="002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DB08" w14:textId="77777777" w:rsidR="002C513D" w:rsidRDefault="002C51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79693" w14:textId="77777777" w:rsidR="002C513D" w:rsidRDefault="002C5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4E63" w14:textId="77777777" w:rsidR="002C513D" w:rsidRDefault="002C513D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21BE057" w14:textId="77777777" w:rsidR="002C513D" w:rsidRDefault="002C513D">
    <w:pPr>
      <w:pStyle w:val="Encabezado"/>
      <w:jc w:val="center"/>
      <w:rPr>
        <w:rFonts w:ascii="Tahoma" w:hAnsi="Tahoma"/>
        <w:b/>
        <w:sz w:val="16"/>
        <w:szCs w:val="16"/>
      </w:rPr>
    </w:pPr>
  </w:p>
  <w:p w14:paraId="127A422C" w14:textId="77777777" w:rsidR="002C513D" w:rsidRPr="002C513D" w:rsidRDefault="002C513D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C513D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7496048" w14:textId="77777777" w:rsidR="002C513D" w:rsidRDefault="00000000">
    <w:pPr>
      <w:pStyle w:val="Piedepgina"/>
      <w:jc w:val="center"/>
      <w:rPr>
        <w:rStyle w:val="Nmerodepgina"/>
        <w:lang w:val="es-CR"/>
      </w:rPr>
    </w:pPr>
    <w:hyperlink r:id="rId1" w:history="1">
      <w:r w:rsidR="002C513D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2C513D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54FFA33D" w14:textId="77777777" w:rsidR="002C513D" w:rsidRDefault="002C513D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FFD2" w14:textId="77777777" w:rsidR="00243044" w:rsidRDefault="00243044">
      <w:r>
        <w:separator/>
      </w:r>
    </w:p>
  </w:footnote>
  <w:footnote w:type="continuationSeparator" w:id="0">
    <w:p w14:paraId="5F79FFBF" w14:textId="77777777" w:rsidR="00243044" w:rsidRDefault="0024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2C513D" w14:paraId="787C1E44" w14:textId="77777777" w:rsidTr="00F44882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582914E" w14:textId="77777777" w:rsidR="002C513D" w:rsidRDefault="002C513D" w:rsidP="002F60E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CC5AC49" wp14:editId="066F3B7F">
                <wp:extent cx="1304925" cy="647700"/>
                <wp:effectExtent l="0" t="0" r="0" b="0"/>
                <wp:docPr id="2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D0D06D8" w14:textId="77777777" w:rsidR="002C513D" w:rsidRPr="00552B96" w:rsidRDefault="002C513D" w:rsidP="002F60E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552B96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77CC7E6E" w14:textId="77777777" w:rsidR="002C513D" w:rsidRDefault="002C513D" w:rsidP="002F60E6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7B1B4CCD" w14:textId="77777777" w:rsidR="002C513D" w:rsidRDefault="002C513D" w:rsidP="002F60E6">
          <w:pPr>
            <w:jc w:val="center"/>
            <w:rPr>
              <w:sz w:val="22"/>
              <w:szCs w:val="22"/>
              <w:lang w:val="es-ES"/>
            </w:rPr>
          </w:pPr>
          <w:r w:rsidRPr="00552B96">
            <w:rPr>
              <w:rFonts w:ascii="Open Sans" w:hAnsi="Open Sans" w:cs="Open Sans"/>
              <w:sz w:val="22"/>
              <w:szCs w:val="22"/>
              <w:lang w:val="es-ES"/>
            </w:rPr>
            <w:t>O SO CLEAN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5E44A3" w14:textId="77777777" w:rsidR="002C513D" w:rsidRPr="00552B96" w:rsidRDefault="002C513D" w:rsidP="002F60E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552B96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552B96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CEKMSDS-148</w:t>
          </w:r>
        </w:p>
      </w:tc>
    </w:tr>
    <w:tr w:rsidR="002C513D" w14:paraId="439A4E8F" w14:textId="77777777" w:rsidTr="00F44882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CA21CF9" w14:textId="77777777" w:rsidR="002C513D" w:rsidRPr="00204A48" w:rsidRDefault="002C513D" w:rsidP="002F60E6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3E697B" w14:textId="77777777" w:rsidR="002C513D" w:rsidRDefault="002C513D" w:rsidP="002F60E6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61522D" w14:textId="124A97B0" w:rsidR="002C513D" w:rsidRPr="00552B96" w:rsidRDefault="002C513D" w:rsidP="001E66D2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552B96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BA55C1" w:rsidRPr="00E3268F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145C93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E3268F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AC0904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2C513D" w:rsidRPr="00AC0904" w14:paraId="2AAA9EDE" w14:textId="77777777" w:rsidTr="00F44882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1C49600" w14:textId="77777777" w:rsidR="002C513D" w:rsidRPr="00204A48" w:rsidRDefault="002C513D" w:rsidP="002F60E6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BB2D81" w14:textId="77777777" w:rsidR="002C513D" w:rsidRDefault="002C513D" w:rsidP="002F60E6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CD8DD9" w14:textId="77777777" w:rsidR="002C513D" w:rsidRPr="00FF4157" w:rsidRDefault="002C513D" w:rsidP="00F44882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78C78B74" w14:textId="3298D9A9" w:rsidR="002C513D" w:rsidRPr="00FF4157" w:rsidRDefault="002C513D" w:rsidP="00F44882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FF4157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Fecha última revisión: </w:t>
          </w:r>
          <w:r w:rsidR="00AC0904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27Marz24</w:t>
          </w:r>
        </w:p>
        <w:p w14:paraId="1A3DE83D" w14:textId="77777777" w:rsidR="002C513D" w:rsidRPr="00FF4157" w:rsidRDefault="002C513D" w:rsidP="002F60E6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FF4157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Fecha creación: </w:t>
          </w:r>
          <w:r w:rsidRPr="00FF4157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>04Jul12</w:t>
          </w:r>
        </w:p>
        <w:p w14:paraId="540332D1" w14:textId="77777777" w:rsidR="002C513D" w:rsidRPr="00AC0904" w:rsidRDefault="002C513D" w:rsidP="002F60E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C09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AC09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6D1B70" w:rsidRPr="00AC0904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2</w: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AC09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AC09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6D1B70" w:rsidRPr="00AC0904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2C513D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19C160C8" w14:textId="77777777" w:rsidR="002C513D" w:rsidRPr="00AC0904" w:rsidRDefault="002C513D" w:rsidP="002F60E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6E9D65B0" w14:textId="77777777" w:rsidR="002C513D" w:rsidRDefault="002C513D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0381437">
    <w:abstractNumId w:val="0"/>
  </w:num>
  <w:num w:numId="2" w16cid:durableId="1699698106">
    <w:abstractNumId w:val="3"/>
  </w:num>
  <w:num w:numId="3" w16cid:durableId="1610626479">
    <w:abstractNumId w:val="2"/>
  </w:num>
  <w:num w:numId="4" w16cid:durableId="16370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XFzwYBKRQC1fHykNNZLVh1w0J4pXnpKq/g3s+8Z/ppwXi92WuhqSRXMpGUEdIDw1SJ1JUXi42Xf7L4P7orjtg==" w:salt="cWnjM/Sv6N/tkanWtpbOy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053C"/>
    <w:rsid w:val="00024C6E"/>
    <w:rsid w:val="000260CE"/>
    <w:rsid w:val="000533A0"/>
    <w:rsid w:val="000603E9"/>
    <w:rsid w:val="000A4F71"/>
    <w:rsid w:val="000A649A"/>
    <w:rsid w:val="000B37CF"/>
    <w:rsid w:val="000C68F2"/>
    <w:rsid w:val="000E13C0"/>
    <w:rsid w:val="000E57DE"/>
    <w:rsid w:val="000F5683"/>
    <w:rsid w:val="000F5A77"/>
    <w:rsid w:val="00103937"/>
    <w:rsid w:val="00112701"/>
    <w:rsid w:val="00126E03"/>
    <w:rsid w:val="00145C93"/>
    <w:rsid w:val="00165DDB"/>
    <w:rsid w:val="001852FF"/>
    <w:rsid w:val="00187CB3"/>
    <w:rsid w:val="00193F01"/>
    <w:rsid w:val="001A2E6F"/>
    <w:rsid w:val="001E66D2"/>
    <w:rsid w:val="0020372C"/>
    <w:rsid w:val="00224906"/>
    <w:rsid w:val="00242D84"/>
    <w:rsid w:val="00243044"/>
    <w:rsid w:val="0025655D"/>
    <w:rsid w:val="00267586"/>
    <w:rsid w:val="00273D57"/>
    <w:rsid w:val="002921AB"/>
    <w:rsid w:val="002923C5"/>
    <w:rsid w:val="002A408B"/>
    <w:rsid w:val="002B1CDC"/>
    <w:rsid w:val="002C513D"/>
    <w:rsid w:val="002F60E6"/>
    <w:rsid w:val="00306F7F"/>
    <w:rsid w:val="00313BB4"/>
    <w:rsid w:val="00316594"/>
    <w:rsid w:val="00332F38"/>
    <w:rsid w:val="00333C37"/>
    <w:rsid w:val="00340122"/>
    <w:rsid w:val="0034406E"/>
    <w:rsid w:val="00361EF4"/>
    <w:rsid w:val="0037142C"/>
    <w:rsid w:val="003749EA"/>
    <w:rsid w:val="00375520"/>
    <w:rsid w:val="00390F66"/>
    <w:rsid w:val="003970A7"/>
    <w:rsid w:val="0039758F"/>
    <w:rsid w:val="003B1505"/>
    <w:rsid w:val="003B6EAF"/>
    <w:rsid w:val="003C2DCC"/>
    <w:rsid w:val="003D4CB3"/>
    <w:rsid w:val="004002BC"/>
    <w:rsid w:val="004078A3"/>
    <w:rsid w:val="00424E11"/>
    <w:rsid w:val="00440480"/>
    <w:rsid w:val="00454827"/>
    <w:rsid w:val="00477531"/>
    <w:rsid w:val="00487594"/>
    <w:rsid w:val="0049799C"/>
    <w:rsid w:val="004B4FB6"/>
    <w:rsid w:val="004C238F"/>
    <w:rsid w:val="004E2EC4"/>
    <w:rsid w:val="005070C2"/>
    <w:rsid w:val="00550B9C"/>
    <w:rsid w:val="00552B96"/>
    <w:rsid w:val="00554448"/>
    <w:rsid w:val="00574E17"/>
    <w:rsid w:val="005778EE"/>
    <w:rsid w:val="00582D13"/>
    <w:rsid w:val="00585265"/>
    <w:rsid w:val="00593FBF"/>
    <w:rsid w:val="005A0DA9"/>
    <w:rsid w:val="005A245A"/>
    <w:rsid w:val="005A6776"/>
    <w:rsid w:val="005B1FF7"/>
    <w:rsid w:val="005F0F46"/>
    <w:rsid w:val="00616106"/>
    <w:rsid w:val="00630E5F"/>
    <w:rsid w:val="00653CBC"/>
    <w:rsid w:val="00684058"/>
    <w:rsid w:val="00695820"/>
    <w:rsid w:val="006B6350"/>
    <w:rsid w:val="006D1B70"/>
    <w:rsid w:val="006F516F"/>
    <w:rsid w:val="00716912"/>
    <w:rsid w:val="007304A6"/>
    <w:rsid w:val="0076536A"/>
    <w:rsid w:val="00781D63"/>
    <w:rsid w:val="007820C6"/>
    <w:rsid w:val="007A590B"/>
    <w:rsid w:val="007C1732"/>
    <w:rsid w:val="00804AA7"/>
    <w:rsid w:val="00846925"/>
    <w:rsid w:val="008513F6"/>
    <w:rsid w:val="008702F0"/>
    <w:rsid w:val="00874344"/>
    <w:rsid w:val="00880D33"/>
    <w:rsid w:val="00881DF9"/>
    <w:rsid w:val="00897FE1"/>
    <w:rsid w:val="008C3C51"/>
    <w:rsid w:val="008C3D12"/>
    <w:rsid w:val="008D0C70"/>
    <w:rsid w:val="008D4EF4"/>
    <w:rsid w:val="008D5E13"/>
    <w:rsid w:val="008E22FA"/>
    <w:rsid w:val="008E427C"/>
    <w:rsid w:val="008F6D61"/>
    <w:rsid w:val="0090537D"/>
    <w:rsid w:val="00912EDB"/>
    <w:rsid w:val="0091301E"/>
    <w:rsid w:val="00920DE5"/>
    <w:rsid w:val="00923809"/>
    <w:rsid w:val="009259ED"/>
    <w:rsid w:val="00943ED2"/>
    <w:rsid w:val="009448B0"/>
    <w:rsid w:val="00977835"/>
    <w:rsid w:val="009B7370"/>
    <w:rsid w:val="009C49D5"/>
    <w:rsid w:val="009C7EE7"/>
    <w:rsid w:val="009D462A"/>
    <w:rsid w:val="009D489F"/>
    <w:rsid w:val="009D7B49"/>
    <w:rsid w:val="00A208C0"/>
    <w:rsid w:val="00A269D8"/>
    <w:rsid w:val="00A32548"/>
    <w:rsid w:val="00A47548"/>
    <w:rsid w:val="00A47C90"/>
    <w:rsid w:val="00A55424"/>
    <w:rsid w:val="00A83C47"/>
    <w:rsid w:val="00A8477C"/>
    <w:rsid w:val="00AA33AD"/>
    <w:rsid w:val="00AB624A"/>
    <w:rsid w:val="00AC0904"/>
    <w:rsid w:val="00AF19CD"/>
    <w:rsid w:val="00AF21D4"/>
    <w:rsid w:val="00B011F8"/>
    <w:rsid w:val="00B033FF"/>
    <w:rsid w:val="00B05DB8"/>
    <w:rsid w:val="00B10E7E"/>
    <w:rsid w:val="00B17DF1"/>
    <w:rsid w:val="00B37C5D"/>
    <w:rsid w:val="00B50ABF"/>
    <w:rsid w:val="00B64E0F"/>
    <w:rsid w:val="00B86A3A"/>
    <w:rsid w:val="00B91ED3"/>
    <w:rsid w:val="00B93E42"/>
    <w:rsid w:val="00BA176B"/>
    <w:rsid w:val="00BA55C1"/>
    <w:rsid w:val="00BB286E"/>
    <w:rsid w:val="00BC074B"/>
    <w:rsid w:val="00BE40F9"/>
    <w:rsid w:val="00C13A6C"/>
    <w:rsid w:val="00C25208"/>
    <w:rsid w:val="00C3480B"/>
    <w:rsid w:val="00C73C9E"/>
    <w:rsid w:val="00C834A9"/>
    <w:rsid w:val="00C83B1E"/>
    <w:rsid w:val="00CA16D6"/>
    <w:rsid w:val="00CB032F"/>
    <w:rsid w:val="00CB2B32"/>
    <w:rsid w:val="00CB4771"/>
    <w:rsid w:val="00CC6490"/>
    <w:rsid w:val="00CD58F9"/>
    <w:rsid w:val="00CE57F7"/>
    <w:rsid w:val="00CF5911"/>
    <w:rsid w:val="00D07347"/>
    <w:rsid w:val="00D107C2"/>
    <w:rsid w:val="00D137BF"/>
    <w:rsid w:val="00D24DFB"/>
    <w:rsid w:val="00D760DE"/>
    <w:rsid w:val="00DA7D72"/>
    <w:rsid w:val="00DB3B97"/>
    <w:rsid w:val="00DD09F3"/>
    <w:rsid w:val="00DE011C"/>
    <w:rsid w:val="00DF7817"/>
    <w:rsid w:val="00E0632F"/>
    <w:rsid w:val="00E107B6"/>
    <w:rsid w:val="00E3268F"/>
    <w:rsid w:val="00E61D94"/>
    <w:rsid w:val="00E82DF0"/>
    <w:rsid w:val="00E858CE"/>
    <w:rsid w:val="00E873C9"/>
    <w:rsid w:val="00E91CEF"/>
    <w:rsid w:val="00E93F56"/>
    <w:rsid w:val="00E96D4F"/>
    <w:rsid w:val="00ED1A20"/>
    <w:rsid w:val="00EF2095"/>
    <w:rsid w:val="00EF54A7"/>
    <w:rsid w:val="00F02037"/>
    <w:rsid w:val="00F1342C"/>
    <w:rsid w:val="00F2108E"/>
    <w:rsid w:val="00F24AF8"/>
    <w:rsid w:val="00F255CF"/>
    <w:rsid w:val="00F26E02"/>
    <w:rsid w:val="00F347C8"/>
    <w:rsid w:val="00F3774C"/>
    <w:rsid w:val="00F43730"/>
    <w:rsid w:val="00F44882"/>
    <w:rsid w:val="00F56700"/>
    <w:rsid w:val="00F56C28"/>
    <w:rsid w:val="00F82339"/>
    <w:rsid w:val="00FA69FF"/>
    <w:rsid w:val="00FC4B95"/>
    <w:rsid w:val="00FC62C3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2068C"/>
  <w15:docId w15:val="{29D6E3BC-19CA-444B-A4C9-977E2A27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F56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6C2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5403-FFA1-4465-A0E0-AF6AEBBD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852</Words>
  <Characters>4688</Characters>
  <Application>Microsoft Office Word</Application>
  <DocSecurity>8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5529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46</cp:revision>
  <cp:lastPrinted>2021-03-15T21:47:00Z</cp:lastPrinted>
  <dcterms:created xsi:type="dcterms:W3CDTF">2015-08-10T22:25:00Z</dcterms:created>
  <dcterms:modified xsi:type="dcterms:W3CDTF">2024-03-27T20:27:00Z</dcterms:modified>
</cp:coreProperties>
</file>