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0732E" w14:textId="77777777" w:rsidR="00062C44" w:rsidRPr="004F352D" w:rsidRDefault="00467C32"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 xml:space="preserve">KEMTREET </w:t>
      </w:r>
      <w:r w:rsidR="00AA2CD2">
        <w:rPr>
          <w:rFonts w:ascii="Open Sans ExtraBold" w:hAnsi="Open Sans ExtraBold" w:cs="Arial Black"/>
          <w:b/>
          <w:bCs/>
          <w:sz w:val="72"/>
          <w:szCs w:val="72"/>
          <w:lang w:val="es-CR"/>
        </w:rPr>
        <w:t>2663</w:t>
      </w:r>
    </w:p>
    <w:p w14:paraId="1DAF9E21" w14:textId="77777777" w:rsidR="000B6D69" w:rsidRDefault="003578B5" w:rsidP="002635F0">
      <w:pPr>
        <w:tabs>
          <w:tab w:val="left" w:pos="0"/>
        </w:tabs>
        <w:jc w:val="center"/>
        <w:rPr>
          <w:rFonts w:ascii="Open Sans" w:hAnsi="Open Sans" w:cs="Arial"/>
          <w:b/>
          <w:sz w:val="32"/>
          <w:szCs w:val="32"/>
          <w:lang w:val="es-CR"/>
        </w:rPr>
      </w:pPr>
      <w:r>
        <w:rPr>
          <w:rFonts w:ascii="Open Sans" w:hAnsi="Open Sans" w:cs="Arial"/>
          <w:b/>
          <w:sz w:val="32"/>
          <w:szCs w:val="32"/>
          <w:lang w:val="es-CR"/>
        </w:rPr>
        <w:t xml:space="preserve">TRATAMIENTO </w:t>
      </w:r>
      <w:r w:rsidR="009B21D1">
        <w:rPr>
          <w:rFonts w:ascii="Open Sans" w:hAnsi="Open Sans" w:cs="Arial"/>
          <w:b/>
          <w:sz w:val="32"/>
          <w:szCs w:val="32"/>
          <w:lang w:val="es-CR"/>
        </w:rPr>
        <w:t xml:space="preserve">LÍQUIDO </w:t>
      </w:r>
      <w:r w:rsidR="00AA2CD2">
        <w:rPr>
          <w:rFonts w:ascii="Open Sans" w:hAnsi="Open Sans" w:cs="Arial"/>
          <w:b/>
          <w:sz w:val="32"/>
          <w:szCs w:val="32"/>
          <w:lang w:val="es-CR"/>
        </w:rPr>
        <w:t>PARA AGUAS DE SISTEMAS DE GENERACION DE VAPOR</w:t>
      </w:r>
      <w:r w:rsidR="009B21D1">
        <w:rPr>
          <w:rFonts w:ascii="Open Sans" w:hAnsi="Open Sans" w:cs="Arial"/>
          <w:b/>
          <w:sz w:val="32"/>
          <w:szCs w:val="32"/>
          <w:lang w:val="es-CR"/>
        </w:rPr>
        <w:t xml:space="preserve"> </w:t>
      </w:r>
    </w:p>
    <w:p w14:paraId="75521979" w14:textId="77777777" w:rsidR="00862124" w:rsidRPr="00BC016E" w:rsidRDefault="00862124" w:rsidP="00862124">
      <w:pPr>
        <w:pStyle w:val="Textoindependiente"/>
        <w:numPr>
          <w:ilvl w:val="0"/>
          <w:numId w:val="5"/>
        </w:numPr>
        <w:tabs>
          <w:tab w:val="clear" w:pos="360"/>
        </w:tabs>
        <w:spacing w:after="60"/>
        <w:ind w:left="180" w:hanging="180"/>
        <w:jc w:val="both"/>
        <w:rPr>
          <w:rFonts w:ascii="Open Sans" w:hAnsi="Open Sans" w:cs="Open Sans"/>
          <w:b/>
          <w:bCs/>
          <w:sz w:val="24"/>
          <w:szCs w:val="24"/>
          <w:lang w:val="es-CR"/>
        </w:rPr>
      </w:pPr>
      <w:r w:rsidRPr="00BC016E">
        <w:rPr>
          <w:rFonts w:ascii="Open Sans" w:hAnsi="Open Sans" w:cs="Open Sans"/>
          <w:b/>
          <w:bCs/>
          <w:sz w:val="24"/>
          <w:szCs w:val="24"/>
          <w:lang w:val="es-CR"/>
        </w:rPr>
        <w:t>Prolonga la vida de los equipos de generación de vapor.</w:t>
      </w:r>
    </w:p>
    <w:p w14:paraId="69A82DB7" w14:textId="77777777" w:rsidR="00862124" w:rsidRPr="00BC016E" w:rsidRDefault="00862124" w:rsidP="00862124">
      <w:pPr>
        <w:pStyle w:val="Textoindependiente"/>
        <w:numPr>
          <w:ilvl w:val="0"/>
          <w:numId w:val="5"/>
        </w:numPr>
        <w:tabs>
          <w:tab w:val="clear" w:pos="360"/>
        </w:tabs>
        <w:spacing w:after="60"/>
        <w:ind w:left="180" w:hanging="180"/>
        <w:jc w:val="both"/>
        <w:rPr>
          <w:rFonts w:ascii="Open Sans" w:hAnsi="Open Sans" w:cs="Open Sans"/>
          <w:b/>
          <w:bCs/>
          <w:sz w:val="24"/>
          <w:szCs w:val="24"/>
          <w:lang w:val="es-CR"/>
        </w:rPr>
      </w:pPr>
      <w:r w:rsidRPr="00BC016E">
        <w:rPr>
          <w:rFonts w:ascii="Open Sans" w:hAnsi="Open Sans" w:cs="Open Sans"/>
          <w:b/>
          <w:bCs/>
          <w:sz w:val="24"/>
          <w:szCs w:val="24"/>
          <w:lang w:val="es-CR"/>
        </w:rPr>
        <w:t>Disminuye los costos de operación de los sistemas de generación de vapor ya que mantiene las superficies de intercambio de calor impecablemente limpias.</w:t>
      </w:r>
    </w:p>
    <w:p w14:paraId="73EEC1EF" w14:textId="77777777" w:rsidR="00862124" w:rsidRPr="00BC016E" w:rsidRDefault="00862124" w:rsidP="00862124">
      <w:pPr>
        <w:pStyle w:val="Textoindependiente"/>
        <w:numPr>
          <w:ilvl w:val="0"/>
          <w:numId w:val="5"/>
        </w:numPr>
        <w:tabs>
          <w:tab w:val="clear" w:pos="360"/>
        </w:tabs>
        <w:spacing w:after="60"/>
        <w:ind w:left="180" w:hanging="180"/>
        <w:jc w:val="both"/>
        <w:rPr>
          <w:rFonts w:ascii="Open Sans" w:hAnsi="Open Sans" w:cs="Open Sans"/>
          <w:b/>
          <w:bCs/>
          <w:sz w:val="24"/>
          <w:szCs w:val="24"/>
          <w:lang w:val="es-CR"/>
        </w:rPr>
      </w:pPr>
      <w:r w:rsidRPr="00BC016E">
        <w:rPr>
          <w:rFonts w:ascii="Open Sans" w:hAnsi="Open Sans" w:cs="Open Sans"/>
          <w:b/>
          <w:bCs/>
          <w:sz w:val="24"/>
          <w:szCs w:val="24"/>
          <w:lang w:val="es-CR"/>
        </w:rPr>
        <w:t>Reduce el tiempo de paro de los sistemas de generación de vapor al mantener las superficies de transferencia de calor limpias.</w:t>
      </w:r>
    </w:p>
    <w:p w14:paraId="2992E2B7" w14:textId="77777777" w:rsidR="00143A8C" w:rsidRPr="002635F0" w:rsidRDefault="00143A8C" w:rsidP="00143A8C">
      <w:pPr>
        <w:pStyle w:val="Prrafodelista"/>
        <w:tabs>
          <w:tab w:val="left" w:pos="0"/>
        </w:tabs>
        <w:ind w:left="1800"/>
        <w:rPr>
          <w:rFonts w:ascii="Open Sans" w:hAnsi="Open Sans" w:cs="Arial"/>
          <w:b/>
          <w:sz w:val="24"/>
          <w:szCs w:val="24"/>
          <w:highlight w:val="yellow"/>
        </w:rPr>
      </w:pPr>
    </w:p>
    <w:tbl>
      <w:tblPr>
        <w:tblW w:w="0" w:type="auto"/>
        <w:tblInd w:w="-318" w:type="dxa"/>
        <w:tblLook w:val="04A0" w:firstRow="1" w:lastRow="0" w:firstColumn="1" w:lastColumn="0" w:noHBand="0" w:noVBand="1"/>
      </w:tblPr>
      <w:tblGrid>
        <w:gridCol w:w="5048"/>
        <w:gridCol w:w="279"/>
        <w:gridCol w:w="5379"/>
      </w:tblGrid>
      <w:tr w:rsidR="00062C44" w14:paraId="328E81B3" w14:textId="77777777" w:rsidTr="004F352D">
        <w:tc>
          <w:tcPr>
            <w:tcW w:w="5048" w:type="dxa"/>
            <w:shd w:val="clear" w:color="auto" w:fill="334F84"/>
          </w:tcPr>
          <w:p w14:paraId="031047BF"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229D25E2"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01C30B20"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8D6D8B" w14:paraId="50857810" w14:textId="77777777" w:rsidTr="00D40EA2">
        <w:trPr>
          <w:trHeight w:val="1786"/>
        </w:trPr>
        <w:tc>
          <w:tcPr>
            <w:tcW w:w="5048" w:type="dxa"/>
            <w:tcMar>
              <w:top w:w="113" w:type="dxa"/>
            </w:tcMar>
          </w:tcPr>
          <w:p w14:paraId="201276EA" w14:textId="77777777" w:rsidR="00467C32" w:rsidRDefault="00AA2CD2" w:rsidP="00CD63E9">
            <w:pPr>
              <w:tabs>
                <w:tab w:val="left" w:pos="709"/>
              </w:tabs>
              <w:jc w:val="both"/>
              <w:rPr>
                <w:rFonts w:ascii="Open Sans" w:hAnsi="Open Sans" w:cs="Arial"/>
                <w:lang w:val="es-CR"/>
              </w:rPr>
            </w:pPr>
            <w:r w:rsidRPr="00AA2CD2">
              <w:rPr>
                <w:rFonts w:ascii="Open Sans" w:hAnsi="Open Sans" w:cs="Arial"/>
                <w:lang w:val="es-CR"/>
              </w:rPr>
              <w:t>El KEMTREET 2663 es un producto de alta tecnología que combina antiprecipitantes y dispersantes. El KEMTREET 2663 gradualmente disolverá depósitos existentes que aíslan las superficies de transferencia de calor lo que reducirá las pérdidas de combustible produciendo ahorros en los costos de operación.</w:t>
            </w:r>
          </w:p>
          <w:p w14:paraId="7F68B30A" w14:textId="77777777" w:rsidR="00AA2CD2" w:rsidRPr="00AD6368" w:rsidRDefault="00AA2CD2" w:rsidP="00BF5248">
            <w:pPr>
              <w:pStyle w:val="Textoindependiente"/>
              <w:spacing w:after="60"/>
              <w:jc w:val="both"/>
              <w:rPr>
                <w:rFonts w:ascii="Open Sans" w:hAnsi="Open Sans" w:cs="Open Sans"/>
                <w:bCs/>
                <w:szCs w:val="24"/>
                <w:lang w:val="es-CR"/>
              </w:rPr>
            </w:pPr>
            <w:r w:rsidRPr="00AD6368">
              <w:rPr>
                <w:rFonts w:ascii="Open Sans" w:hAnsi="Open Sans" w:cs="Open Sans"/>
                <w:bCs/>
                <w:szCs w:val="24"/>
                <w:lang w:val="es-CR"/>
              </w:rPr>
              <w:t>Reduce el tiempo improductivo de los equipos de generación de vapor ya que permite su limpieza mientras se encuentran en operación y los mantiene libres de incrustaciones y de corrosión.</w:t>
            </w:r>
          </w:p>
          <w:p w14:paraId="6EA98423" w14:textId="77777777" w:rsidR="00AA2CD2" w:rsidRPr="00AD6368" w:rsidRDefault="00AA2CD2" w:rsidP="00BF5248">
            <w:pPr>
              <w:pStyle w:val="Textoindependiente"/>
              <w:spacing w:after="60"/>
              <w:jc w:val="both"/>
              <w:rPr>
                <w:rFonts w:ascii="Open Sans" w:hAnsi="Open Sans" w:cs="Open Sans"/>
                <w:bCs/>
                <w:szCs w:val="24"/>
                <w:lang w:val="es-CR"/>
              </w:rPr>
            </w:pPr>
            <w:r w:rsidRPr="00AD6368">
              <w:rPr>
                <w:rFonts w:ascii="Open Sans" w:hAnsi="Open Sans" w:cs="Open Sans"/>
                <w:bCs/>
                <w:szCs w:val="24"/>
                <w:lang w:val="es-CR"/>
              </w:rPr>
              <w:t>Prolonga la vida de los equipos de generación de vapor.</w:t>
            </w:r>
          </w:p>
          <w:p w14:paraId="783F1624" w14:textId="77777777" w:rsidR="00AA2CD2" w:rsidRPr="00AD6368" w:rsidRDefault="00AA2CD2" w:rsidP="00BF5248">
            <w:pPr>
              <w:pStyle w:val="Textoindependiente"/>
              <w:spacing w:after="60"/>
              <w:jc w:val="both"/>
              <w:rPr>
                <w:rFonts w:ascii="Open Sans" w:hAnsi="Open Sans" w:cs="Open Sans"/>
                <w:bCs/>
                <w:szCs w:val="24"/>
                <w:lang w:val="es-CR"/>
              </w:rPr>
            </w:pPr>
            <w:r w:rsidRPr="00AD6368">
              <w:rPr>
                <w:rFonts w:ascii="Open Sans" w:hAnsi="Open Sans" w:cs="Open Sans"/>
                <w:bCs/>
                <w:szCs w:val="24"/>
                <w:lang w:val="es-CR"/>
              </w:rPr>
              <w:t>Disminuye los costos de operación de los sistemas de generación de vapor ya que mantiene las superficies de intercambio de calor impecablemente limpias.</w:t>
            </w:r>
          </w:p>
          <w:p w14:paraId="274164C8" w14:textId="77777777" w:rsidR="00AA2CD2" w:rsidRPr="00AD6368" w:rsidRDefault="00AA2CD2" w:rsidP="00BF5248">
            <w:pPr>
              <w:pStyle w:val="Textoindependiente"/>
              <w:spacing w:after="60"/>
              <w:jc w:val="both"/>
              <w:rPr>
                <w:rFonts w:ascii="Open Sans" w:hAnsi="Open Sans" w:cs="Open Sans"/>
                <w:bCs/>
                <w:szCs w:val="24"/>
                <w:lang w:val="es-CR"/>
              </w:rPr>
            </w:pPr>
            <w:r w:rsidRPr="00AD6368">
              <w:rPr>
                <w:rFonts w:ascii="Open Sans" w:hAnsi="Open Sans" w:cs="Open Sans"/>
                <w:bCs/>
                <w:szCs w:val="24"/>
                <w:lang w:val="es-CR"/>
              </w:rPr>
              <w:t>Reduce el tiempo de paro de los sistemas de generación de vapor al mantener las superficies de transferencia de calor limpias.</w:t>
            </w:r>
          </w:p>
          <w:p w14:paraId="127FDDCB" w14:textId="77777777" w:rsidR="00467C32" w:rsidRDefault="00467C32" w:rsidP="00CD63E9">
            <w:pPr>
              <w:tabs>
                <w:tab w:val="left" w:pos="709"/>
              </w:tabs>
              <w:jc w:val="both"/>
              <w:rPr>
                <w:rFonts w:ascii="Open Sans" w:hAnsi="Open Sans" w:cs="Arial"/>
                <w:lang w:val="es-CR"/>
              </w:rPr>
            </w:pPr>
          </w:p>
          <w:p w14:paraId="2ED067EE" w14:textId="77777777" w:rsidR="002D3FE2" w:rsidRDefault="002D3FE2" w:rsidP="00CD63E9">
            <w:pPr>
              <w:tabs>
                <w:tab w:val="left" w:pos="709"/>
              </w:tabs>
              <w:jc w:val="both"/>
              <w:rPr>
                <w:rFonts w:ascii="Open Sans" w:hAnsi="Open Sans" w:cs="Arial"/>
                <w:lang w:val="es-CR"/>
              </w:rPr>
            </w:pPr>
          </w:p>
          <w:p w14:paraId="2139657B" w14:textId="77777777" w:rsidR="002D3FE2" w:rsidRDefault="002D3FE2" w:rsidP="00CD63E9">
            <w:pPr>
              <w:tabs>
                <w:tab w:val="left" w:pos="709"/>
              </w:tabs>
              <w:jc w:val="both"/>
              <w:rPr>
                <w:rFonts w:ascii="Open Sans" w:hAnsi="Open Sans" w:cs="Arial"/>
                <w:lang w:val="es-CR"/>
              </w:rPr>
            </w:pPr>
          </w:p>
          <w:p w14:paraId="12C41052" w14:textId="2A79F31C" w:rsidR="002D3FE2" w:rsidRPr="002635F0" w:rsidRDefault="002D3FE2" w:rsidP="00CD63E9">
            <w:pPr>
              <w:tabs>
                <w:tab w:val="left" w:pos="709"/>
              </w:tabs>
              <w:jc w:val="both"/>
              <w:rPr>
                <w:rFonts w:ascii="Open Sans" w:hAnsi="Open Sans" w:cs="Arial"/>
                <w:lang w:val="es-CR"/>
              </w:rPr>
            </w:pPr>
          </w:p>
        </w:tc>
        <w:tc>
          <w:tcPr>
            <w:tcW w:w="279" w:type="dxa"/>
          </w:tcPr>
          <w:p w14:paraId="06B2CE18"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149919F5" w14:textId="77777777" w:rsidR="00D40EA2" w:rsidRPr="00AF57DD" w:rsidRDefault="00BF5248" w:rsidP="00AF57DD">
            <w:pPr>
              <w:tabs>
                <w:tab w:val="left" w:pos="709"/>
              </w:tabs>
              <w:jc w:val="both"/>
              <w:rPr>
                <w:rFonts w:ascii="Open Sans" w:hAnsi="Open Sans" w:cs="Arial"/>
                <w:lang w:val="es-CR"/>
              </w:rPr>
            </w:pPr>
            <w:r w:rsidRPr="00BF5248">
              <w:rPr>
                <w:rFonts w:ascii="Open Sans" w:hAnsi="Open Sans" w:cs="Arial"/>
                <w:lang w:val="es-CR"/>
              </w:rPr>
              <w:t>La dosis de KEMTREET 2663 depende de la recuperación de condensados, de la calidad del agua de reposición, y de la limpieza inicial de las superficies de transferencia de calor. Si el sistema cuenta con un economizador dosifique el KEMTREET 2663 al tanque de almacenamiento del agua de alimentación. No administre el KEMTREET 2663 donde pueda entrar en contacto con metales que contengan cobre. Se administra directamente a la caldera en forma continua. El Asesor Técnico Especializado en Tratamiento de Aguas de Cek le dará indicaciones específicas sobre la dosis a usar de KEMTREET 2663 en su sistema de generación de vapor.</w:t>
            </w:r>
          </w:p>
        </w:tc>
      </w:tr>
      <w:tr w:rsidR="00062C44" w14:paraId="384895A9" w14:textId="77777777" w:rsidTr="00421DCF">
        <w:trPr>
          <w:trHeight w:val="247"/>
        </w:trPr>
        <w:tc>
          <w:tcPr>
            <w:tcW w:w="5048" w:type="dxa"/>
            <w:shd w:val="clear" w:color="auto" w:fill="334F84"/>
          </w:tcPr>
          <w:p w14:paraId="2B5BD02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lastRenderedPageBreak/>
              <w:t>AREAS DE USO</w:t>
            </w:r>
          </w:p>
        </w:tc>
        <w:tc>
          <w:tcPr>
            <w:tcW w:w="279" w:type="dxa"/>
          </w:tcPr>
          <w:p w14:paraId="7C4D8045"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443ECCEE"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8D6D8B" w14:paraId="0BA7A9D6" w14:textId="77777777" w:rsidTr="009B21D1">
        <w:trPr>
          <w:trHeight w:val="1723"/>
        </w:trPr>
        <w:tc>
          <w:tcPr>
            <w:tcW w:w="5048" w:type="dxa"/>
            <w:tcMar>
              <w:top w:w="113" w:type="dxa"/>
            </w:tcMar>
          </w:tcPr>
          <w:p w14:paraId="53A24E02" w14:textId="77777777" w:rsidR="00062C44" w:rsidRPr="004F352D" w:rsidRDefault="00862124" w:rsidP="00BC016E">
            <w:pPr>
              <w:pStyle w:val="Textoindependiente"/>
              <w:spacing w:after="60"/>
              <w:jc w:val="both"/>
              <w:rPr>
                <w:rFonts w:ascii="Open Sans" w:hAnsi="Open Sans" w:cs="Arial"/>
                <w:b/>
                <w:sz w:val="32"/>
                <w:szCs w:val="32"/>
                <w:lang w:val="es-CR"/>
              </w:rPr>
            </w:pPr>
            <w:r w:rsidRPr="00BC016E">
              <w:rPr>
                <w:rFonts w:ascii="Open Sans" w:hAnsi="Open Sans" w:cs="Open Sans"/>
                <w:bCs/>
                <w:szCs w:val="24"/>
                <w:lang w:val="es-CR"/>
              </w:rPr>
              <w:t>Sistemas de generación de vapor, ideal para plantas en donde se procesan alimentos.</w:t>
            </w:r>
          </w:p>
        </w:tc>
        <w:tc>
          <w:tcPr>
            <w:tcW w:w="279" w:type="dxa"/>
            <w:tcMar>
              <w:top w:w="113" w:type="dxa"/>
            </w:tcMar>
          </w:tcPr>
          <w:p w14:paraId="149785DC"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13F70850" w14:textId="77777777" w:rsidR="00CD63E9" w:rsidRPr="00BC016E" w:rsidRDefault="00BF5248" w:rsidP="00BC016E">
            <w:pPr>
              <w:pStyle w:val="Textoindependiente"/>
              <w:spacing w:after="60"/>
              <w:jc w:val="both"/>
              <w:rPr>
                <w:rFonts w:ascii="Open Sans" w:hAnsi="Open Sans" w:cs="Open Sans"/>
                <w:bCs/>
                <w:szCs w:val="24"/>
                <w:lang w:val="es-CR"/>
              </w:rPr>
            </w:pPr>
            <w:r w:rsidRPr="00BC016E">
              <w:rPr>
                <w:rFonts w:ascii="Open Sans" w:hAnsi="Open Sans" w:cs="Open Sans"/>
                <w:bCs/>
                <w:szCs w:val="24"/>
                <w:lang w:val="es-CR"/>
              </w:rPr>
              <w:t>Mantenga el recipiente bien cerrado mientras no esté en uso. No lo ingiera. Evite contacto con la piel y los ojos. Puede irritar los ojos y la piel. Utilice guantes y anteojos protectores al manipularlo.</w:t>
            </w:r>
          </w:p>
          <w:p w14:paraId="0706B22B" w14:textId="77777777" w:rsidR="00862124" w:rsidRDefault="00862124" w:rsidP="00BC016E">
            <w:pPr>
              <w:pStyle w:val="Textoindependiente"/>
              <w:spacing w:after="60"/>
              <w:jc w:val="both"/>
              <w:rPr>
                <w:rFonts w:ascii="Open Sans" w:hAnsi="Open Sans" w:cs="Open Sans"/>
                <w:bCs/>
                <w:szCs w:val="24"/>
                <w:lang w:val="es-CR"/>
              </w:rPr>
            </w:pPr>
            <w:r>
              <w:rPr>
                <w:rFonts w:ascii="Open Sans" w:hAnsi="Open Sans" w:cs="Open Sans"/>
                <w:bCs/>
                <w:szCs w:val="24"/>
                <w:lang w:val="es-CR"/>
              </w:rPr>
              <w:t>El KEMTREET 266</w:t>
            </w:r>
            <w:r w:rsidRPr="003B7DC0">
              <w:rPr>
                <w:rFonts w:ascii="Open Sans" w:hAnsi="Open Sans" w:cs="Open Sans"/>
                <w:bCs/>
                <w:szCs w:val="24"/>
                <w:lang w:val="es-CR"/>
              </w:rPr>
              <w:t>3 cumple con los requisitos exigidos por la Agencia para el Control de Alimentos y Drogas del Ministerio de Salud y Servicios Humanos del Gobierno de los E.U.A. para el tratamiento de aguas de calderas que generen vapor que entrará en contacto con alimentos al tenor de lo establecido en El Código de Regulaciones Federales (21 CFR 173.310) titulado “Aditivos para Aguas de Calderas”.</w:t>
            </w:r>
          </w:p>
          <w:p w14:paraId="26EDCB94" w14:textId="77777777" w:rsidR="00862124" w:rsidRPr="002635F0" w:rsidRDefault="00862124" w:rsidP="002635F0">
            <w:pPr>
              <w:tabs>
                <w:tab w:val="left" w:pos="709"/>
              </w:tabs>
              <w:jc w:val="both"/>
              <w:rPr>
                <w:rFonts w:ascii="Open Sans" w:hAnsi="Open Sans" w:cs="Arial"/>
                <w:lang w:val="es-CR"/>
              </w:rPr>
            </w:pPr>
          </w:p>
        </w:tc>
      </w:tr>
      <w:tr w:rsidR="00062C44" w:rsidRPr="008D6D8B" w14:paraId="5CD2C28C" w14:textId="77777777" w:rsidTr="00421DCF">
        <w:trPr>
          <w:trHeight w:val="171"/>
        </w:trPr>
        <w:tc>
          <w:tcPr>
            <w:tcW w:w="5048" w:type="dxa"/>
          </w:tcPr>
          <w:p w14:paraId="3A2B2BA4" w14:textId="77777777" w:rsidR="000B6D69" w:rsidRPr="004F352D" w:rsidRDefault="000B6D69" w:rsidP="002635F0">
            <w:pPr>
              <w:tabs>
                <w:tab w:val="left" w:pos="3096"/>
              </w:tabs>
              <w:rPr>
                <w:rFonts w:ascii="Open Sans" w:hAnsi="Open Sans" w:cs="Arial"/>
                <w:b/>
                <w:sz w:val="32"/>
                <w:szCs w:val="32"/>
                <w:lang w:val="es-CR"/>
              </w:rPr>
            </w:pPr>
          </w:p>
        </w:tc>
        <w:tc>
          <w:tcPr>
            <w:tcW w:w="279" w:type="dxa"/>
          </w:tcPr>
          <w:p w14:paraId="2536158F" w14:textId="77777777" w:rsidR="00062C44" w:rsidRPr="004F352D" w:rsidRDefault="00CD63E9" w:rsidP="00062C44">
            <w:pPr>
              <w:tabs>
                <w:tab w:val="left" w:pos="709"/>
              </w:tabs>
              <w:rPr>
                <w:rFonts w:ascii="Open Sans" w:hAnsi="Open Sans" w:cs="Arial"/>
                <w:b/>
                <w:sz w:val="32"/>
                <w:szCs w:val="32"/>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02325139" wp14:editId="5F62BA3E">
                      <wp:simplePos x="0" y="0"/>
                      <wp:positionH relativeFrom="column">
                        <wp:posOffset>19050</wp:posOffset>
                      </wp:positionH>
                      <wp:positionV relativeFrom="paragraph">
                        <wp:posOffset>215900</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CC914"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25139" id="_x0000_t202" coordsize="21600,21600" o:spt="202" path="m,l,21600r21600,l21600,xe">
                      <v:stroke joinstyle="miter"/>
                      <v:path gradientshapeok="t" o:connecttype="rect"/>
                    </v:shapetype>
                    <v:shape id="Text Box 3" o:spid="_x0000_s1026" type="#_x0000_t202" style="position:absolute;margin-left:1.5pt;margin-top:17pt;width:26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" stroked="f">
                      <v:textbox>
                        <w:txbxContent>
                          <w:p w14:paraId="361CC914"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c>
          <w:tcPr>
            <w:tcW w:w="5379" w:type="dxa"/>
          </w:tcPr>
          <w:p w14:paraId="26E5E6C4" w14:textId="77777777" w:rsidR="002635F0" w:rsidRPr="004F352D" w:rsidRDefault="002635F0" w:rsidP="00062C44">
            <w:pPr>
              <w:tabs>
                <w:tab w:val="left" w:pos="709"/>
              </w:tabs>
              <w:rPr>
                <w:rFonts w:ascii="Open Sans" w:hAnsi="Open Sans" w:cs="Arial"/>
                <w:b/>
                <w:sz w:val="32"/>
                <w:szCs w:val="32"/>
                <w:lang w:val="es-CR"/>
              </w:rPr>
            </w:pPr>
          </w:p>
        </w:tc>
      </w:tr>
      <w:tr w:rsidR="00062C44" w14:paraId="17ABC18B" w14:textId="77777777" w:rsidTr="00970B2D">
        <w:tc>
          <w:tcPr>
            <w:tcW w:w="5048" w:type="dxa"/>
            <w:shd w:val="clear" w:color="auto" w:fill="334F84"/>
          </w:tcPr>
          <w:p w14:paraId="1C7E4A6E"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33FA2212" w14:textId="77777777" w:rsidR="00062C44" w:rsidRPr="00DA0EEA" w:rsidRDefault="00062C44" w:rsidP="00062C44">
            <w:pPr>
              <w:tabs>
                <w:tab w:val="left" w:pos="709"/>
              </w:tabs>
              <w:jc w:val="center"/>
              <w:rPr>
                <w:rFonts w:ascii="Open Sans" w:hAnsi="Open Sans" w:cs="Arial"/>
                <w:b/>
                <w:sz w:val="32"/>
                <w:szCs w:val="32"/>
              </w:rPr>
            </w:pPr>
          </w:p>
        </w:tc>
        <w:tc>
          <w:tcPr>
            <w:tcW w:w="5379" w:type="dxa"/>
          </w:tcPr>
          <w:p w14:paraId="1DF9EAA7" w14:textId="77777777" w:rsidR="00062C44" w:rsidRPr="00DA0EEA" w:rsidRDefault="00062C44" w:rsidP="00062C44">
            <w:pPr>
              <w:tabs>
                <w:tab w:val="left" w:pos="709"/>
              </w:tabs>
              <w:jc w:val="center"/>
              <w:rPr>
                <w:rFonts w:ascii="Open Sans" w:hAnsi="Open Sans" w:cs="Arial"/>
                <w:b/>
                <w:sz w:val="32"/>
                <w:szCs w:val="32"/>
              </w:rPr>
            </w:pPr>
          </w:p>
        </w:tc>
      </w:tr>
      <w:tr w:rsidR="00062C44" w:rsidRPr="008D6D8B" w14:paraId="2CB3A604" w14:textId="77777777" w:rsidTr="00970B2D">
        <w:tc>
          <w:tcPr>
            <w:tcW w:w="5048" w:type="dxa"/>
          </w:tcPr>
          <w:p w14:paraId="332C9FCE" w14:textId="77777777" w:rsidR="00640A07" w:rsidRDefault="00640A07"/>
          <w:tbl>
            <w:tblPr>
              <w:tblW w:w="0" w:type="auto"/>
              <w:tblLook w:val="04A0" w:firstRow="1" w:lastRow="0" w:firstColumn="1" w:lastColumn="0" w:noHBand="0" w:noVBand="1"/>
            </w:tblPr>
            <w:tblGrid>
              <w:gridCol w:w="4832"/>
            </w:tblGrid>
            <w:tr w:rsidR="007461C7" w:rsidRPr="008D6D8B" w14:paraId="52554C31" w14:textId="77777777" w:rsidTr="00CF62DD">
              <w:trPr>
                <w:trHeight w:val="3214"/>
              </w:trPr>
              <w:tc>
                <w:tcPr>
                  <w:tcW w:w="4832" w:type="dxa"/>
                </w:tcPr>
                <w:p w14:paraId="51FB5F0D"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00850C1C" w:rsidRPr="004F352D">
                    <w:rPr>
                      <w:rFonts w:ascii="Open Sans" w:eastAsia="Times New Roman" w:hAnsi="Open Sans" w:cs="Arial"/>
                      <w:sz w:val="20"/>
                      <w:szCs w:val="20"/>
                    </w:rPr>
                    <w:t xml:space="preserve"> </w:t>
                  </w:r>
                  <w:r w:rsidR="009B21D1">
                    <w:rPr>
                      <w:rFonts w:ascii="Open Sans" w:eastAsia="Times New Roman" w:hAnsi="Open Sans" w:cs="Arial"/>
                      <w:sz w:val="20"/>
                      <w:szCs w:val="20"/>
                    </w:rPr>
                    <w:t xml:space="preserve">Líquido </w:t>
                  </w:r>
                  <w:r w:rsidR="00BF5248">
                    <w:rPr>
                      <w:rFonts w:ascii="Open Sans" w:eastAsia="Times New Roman" w:hAnsi="Open Sans" w:cs="Arial"/>
                      <w:sz w:val="20"/>
                      <w:szCs w:val="20"/>
                    </w:rPr>
                    <w:t>incoloro inodoro</w:t>
                  </w:r>
                  <w:r w:rsidRPr="004F352D">
                    <w:rPr>
                      <w:rFonts w:ascii="Open Sans" w:eastAsia="Times New Roman" w:hAnsi="Open Sans" w:cs="Arial"/>
                      <w:sz w:val="20"/>
                      <w:szCs w:val="20"/>
                    </w:rPr>
                    <w:t>.</w:t>
                  </w:r>
                </w:p>
                <w:p w14:paraId="337A5EEC"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00850C1C" w:rsidRPr="004F352D">
                    <w:rPr>
                      <w:rFonts w:ascii="Open Sans" w:eastAsia="Times New Roman" w:hAnsi="Open Sans" w:cs="Arial"/>
                      <w:sz w:val="20"/>
                      <w:szCs w:val="20"/>
                    </w:rPr>
                    <w:t xml:space="preserve"> </w:t>
                  </w:r>
                  <w:r w:rsidR="00BF5248">
                    <w:rPr>
                      <w:rFonts w:ascii="Open Sans" w:eastAsia="Times New Roman" w:hAnsi="Open Sans" w:cs="Arial"/>
                      <w:sz w:val="20"/>
                      <w:szCs w:val="20"/>
                    </w:rPr>
                    <w:t>12.00-13.50</w:t>
                  </w:r>
                </w:p>
                <w:p w14:paraId="78985E78" w14:textId="77777777" w:rsidR="007461C7" w:rsidRPr="004F352D" w:rsidRDefault="007461C7" w:rsidP="009B21D1">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00850C1C" w:rsidRPr="004F352D">
                    <w:rPr>
                      <w:rFonts w:ascii="Open Sans" w:eastAsia="Times New Roman" w:hAnsi="Open Sans" w:cs="Arial"/>
                      <w:sz w:val="20"/>
                      <w:szCs w:val="20"/>
                    </w:rPr>
                    <w:t xml:space="preserve"> </w:t>
                  </w:r>
                  <w:r w:rsidR="00BF5248">
                    <w:rPr>
                      <w:rFonts w:ascii="Open Sans" w:eastAsia="Times New Roman" w:hAnsi="Open Sans" w:cs="Arial"/>
                      <w:sz w:val="20"/>
                      <w:szCs w:val="20"/>
                    </w:rPr>
                    <w:t>1.05-1.080</w:t>
                  </w:r>
                </w:p>
                <w:p w14:paraId="086D2087" w14:textId="77777777" w:rsidR="007461C7" w:rsidRPr="00BC016E"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Contenido de fósforo:</w:t>
                  </w:r>
                  <w:r w:rsidR="00850C1C" w:rsidRPr="004F352D">
                    <w:rPr>
                      <w:rFonts w:ascii="Open Sans" w:eastAsia="Times New Roman" w:hAnsi="Open Sans" w:cs="Arial"/>
                      <w:sz w:val="20"/>
                      <w:szCs w:val="20"/>
                    </w:rPr>
                    <w:t xml:space="preserve"> </w:t>
                  </w:r>
                  <w:r w:rsidRPr="00BC016E">
                    <w:rPr>
                      <w:rFonts w:ascii="Open Sans" w:eastAsia="Times New Roman" w:hAnsi="Open Sans" w:cs="Arial"/>
                      <w:sz w:val="20"/>
                      <w:szCs w:val="20"/>
                    </w:rPr>
                    <w:t>No hay</w:t>
                  </w:r>
                  <w:r w:rsidR="00850C1C" w:rsidRPr="00BC016E">
                    <w:rPr>
                      <w:rFonts w:ascii="Open Sans" w:eastAsia="Times New Roman" w:hAnsi="Open Sans" w:cs="Arial"/>
                      <w:sz w:val="20"/>
                      <w:szCs w:val="20"/>
                    </w:rPr>
                    <w:t>.</w:t>
                  </w:r>
                </w:p>
                <w:p w14:paraId="5D858321" w14:textId="77777777" w:rsidR="007461C7" w:rsidRPr="00BC016E" w:rsidRDefault="007461C7" w:rsidP="007461C7">
                  <w:pPr>
                    <w:pStyle w:val="Prrafodelista"/>
                    <w:numPr>
                      <w:ilvl w:val="0"/>
                      <w:numId w:val="3"/>
                    </w:numPr>
                    <w:tabs>
                      <w:tab w:val="left" w:pos="709"/>
                    </w:tabs>
                    <w:rPr>
                      <w:rFonts w:ascii="Open Sans" w:eastAsia="Times New Roman" w:hAnsi="Open Sans" w:cs="Arial"/>
                      <w:sz w:val="20"/>
                      <w:szCs w:val="20"/>
                    </w:rPr>
                  </w:pPr>
                  <w:r w:rsidRPr="00BC016E">
                    <w:rPr>
                      <w:rFonts w:ascii="Open Sans" w:eastAsia="Times New Roman" w:hAnsi="Open Sans" w:cs="Arial"/>
                      <w:b/>
                      <w:sz w:val="20"/>
                      <w:szCs w:val="20"/>
                    </w:rPr>
                    <w:t>Peligro mayor:</w:t>
                  </w:r>
                  <w:r w:rsidRPr="00BC016E">
                    <w:rPr>
                      <w:rFonts w:ascii="Open Sans" w:eastAsia="Times New Roman" w:hAnsi="Open Sans" w:cs="Arial"/>
                      <w:sz w:val="20"/>
                      <w:szCs w:val="20"/>
                    </w:rPr>
                    <w:t xml:space="preserve"> Irritación en ojos.</w:t>
                  </w:r>
                </w:p>
                <w:p w14:paraId="660469A5" w14:textId="77777777" w:rsidR="002B22FD" w:rsidRPr="00862124" w:rsidRDefault="007461C7" w:rsidP="00BC016E">
                  <w:pPr>
                    <w:pStyle w:val="Prrafodelista"/>
                    <w:numPr>
                      <w:ilvl w:val="0"/>
                      <w:numId w:val="3"/>
                    </w:numPr>
                    <w:tabs>
                      <w:tab w:val="left" w:pos="709"/>
                    </w:tabs>
                  </w:pPr>
                  <w:r w:rsidRPr="00862124">
                    <w:rPr>
                      <w:rFonts w:ascii="Open Sans" w:eastAsia="Times New Roman" w:hAnsi="Open Sans" w:cs="Arial"/>
                      <w:b/>
                      <w:sz w:val="20"/>
                      <w:szCs w:val="20"/>
                    </w:rPr>
                    <w:t xml:space="preserve">Composición: </w:t>
                  </w:r>
                  <w:r w:rsidR="00862124" w:rsidRPr="00BC016E">
                    <w:rPr>
                      <w:rFonts w:ascii="Open Sans" w:eastAsia="Times New Roman" w:hAnsi="Open Sans" w:cs="Arial"/>
                      <w:sz w:val="20"/>
                      <w:szCs w:val="20"/>
                    </w:rPr>
                    <w:t>Polímero, copolimero y dispersantes orgánicos</w:t>
                  </w:r>
                  <w:r w:rsidR="00862124">
                    <w:rPr>
                      <w:rFonts w:ascii="Open Sans" w:eastAsia="Times New Roman" w:hAnsi="Open Sans" w:cs="Arial"/>
                      <w:b/>
                      <w:sz w:val="20"/>
                      <w:szCs w:val="20"/>
                    </w:rPr>
                    <w:t xml:space="preserve"> </w:t>
                  </w:r>
                </w:p>
                <w:p w14:paraId="3F704D61" w14:textId="2C045A54" w:rsidR="007461C7" w:rsidRPr="002B22FD" w:rsidRDefault="007461C7" w:rsidP="002B22FD">
                  <w:pPr>
                    <w:tabs>
                      <w:tab w:val="left" w:pos="3588"/>
                    </w:tabs>
                    <w:rPr>
                      <w:lang w:val="es-CR"/>
                    </w:rPr>
                  </w:pPr>
                </w:p>
              </w:tc>
            </w:tr>
          </w:tbl>
          <w:p w14:paraId="2D58D85B" w14:textId="71141F5E" w:rsidR="00062C44" w:rsidRPr="004F352D" w:rsidRDefault="00062C44" w:rsidP="002B22FD">
            <w:pPr>
              <w:tabs>
                <w:tab w:val="left" w:pos="3696"/>
              </w:tabs>
              <w:rPr>
                <w:rFonts w:ascii="Open Sans" w:hAnsi="Open Sans" w:cs="Arial"/>
                <w:b/>
                <w:sz w:val="32"/>
                <w:szCs w:val="32"/>
                <w:lang w:val="es-CR"/>
              </w:rPr>
            </w:pPr>
          </w:p>
        </w:tc>
        <w:tc>
          <w:tcPr>
            <w:tcW w:w="279" w:type="dxa"/>
          </w:tcPr>
          <w:p w14:paraId="4470EBC2" w14:textId="4202AB9C"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3B113D01" w14:textId="77777777" w:rsidR="000B6D69" w:rsidRPr="00002D48" w:rsidRDefault="000B6D69" w:rsidP="004B48E0">
            <w:pPr>
              <w:rPr>
                <w:rFonts w:ascii="Open Sans" w:hAnsi="Open Sans" w:cs="Arial"/>
                <w:b/>
                <w:lang w:val="es-CR"/>
              </w:rPr>
            </w:pPr>
          </w:p>
          <w:p w14:paraId="1F5E2CCD" w14:textId="77777777" w:rsidR="000B6D69" w:rsidRPr="00002D48" w:rsidRDefault="000B6D69" w:rsidP="004B48E0">
            <w:pPr>
              <w:rPr>
                <w:rFonts w:ascii="Open Sans" w:hAnsi="Open Sans" w:cs="Arial"/>
                <w:b/>
                <w:lang w:val="es-CR"/>
              </w:rPr>
            </w:pPr>
          </w:p>
          <w:p w14:paraId="7AE97B5A" w14:textId="7777777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6A2E2574" w14:textId="0F821C53" w:rsidR="004B48E0" w:rsidRPr="00002D48" w:rsidRDefault="004B48E0" w:rsidP="004B48E0">
            <w:pPr>
              <w:rPr>
                <w:rFonts w:ascii="Open Sans" w:hAnsi="Open Sans" w:cs="Arial"/>
                <w:b/>
                <w:lang w:val="es-CR"/>
              </w:rPr>
            </w:pPr>
            <w:r w:rsidRPr="003578B5">
              <w:rPr>
                <w:rFonts w:ascii="Open Sans" w:hAnsi="Open Sans" w:cs="Arial"/>
                <w:b/>
                <w:lang w:val="es-CR"/>
              </w:rPr>
              <w:t>Costa Rica:</w:t>
            </w:r>
            <w:r w:rsidRPr="00002D48">
              <w:rPr>
                <w:rFonts w:ascii="Open Sans" w:hAnsi="Open Sans" w:cs="Arial"/>
                <w:b/>
                <w:lang w:val="es-CR"/>
              </w:rPr>
              <w:t xml:space="preserve"> </w:t>
            </w:r>
            <w:r w:rsidR="00C92F24" w:rsidRPr="00C92F24">
              <w:rPr>
                <w:rFonts w:ascii="Open Sans" w:hAnsi="Open Sans" w:cs="Arial"/>
                <w:bCs/>
                <w:lang w:val="es-CR"/>
              </w:rPr>
              <w:t>Q-18-04583</w:t>
            </w:r>
          </w:p>
          <w:p w14:paraId="5F0ACB97" w14:textId="77777777" w:rsidR="00062C44" w:rsidRDefault="00BF5248" w:rsidP="002241C4">
            <w:pPr>
              <w:pStyle w:val="Textoindependiente"/>
              <w:jc w:val="both"/>
              <w:rPr>
                <w:rFonts w:ascii="Open Sans" w:hAnsi="Open Sans" w:cs="Open Sans"/>
                <w:bCs/>
                <w:szCs w:val="24"/>
                <w:lang w:val="es-CR"/>
              </w:rPr>
            </w:pPr>
            <w:r w:rsidRPr="004E528A">
              <w:rPr>
                <w:rFonts w:ascii="Open Sans" w:hAnsi="Open Sans" w:cs="Open Sans"/>
                <w:b/>
                <w:bCs/>
                <w:szCs w:val="24"/>
                <w:lang w:val="es-CR"/>
              </w:rPr>
              <w:t>NSF:</w:t>
            </w:r>
            <w:r>
              <w:rPr>
                <w:rFonts w:ascii="Open Sans" w:hAnsi="Open Sans" w:cs="Open Sans"/>
                <w:bCs/>
                <w:szCs w:val="24"/>
                <w:lang w:val="es-CR"/>
              </w:rPr>
              <w:t xml:space="preserve"> </w:t>
            </w:r>
            <w:r w:rsidRPr="004E528A">
              <w:rPr>
                <w:rFonts w:ascii="Open Sans" w:hAnsi="Open Sans" w:cs="Open Sans"/>
                <w:bCs/>
                <w:szCs w:val="24"/>
                <w:lang w:val="es-CR"/>
              </w:rPr>
              <w:t>154425 (G6)</w:t>
            </w:r>
          </w:p>
          <w:p w14:paraId="7C69B354" w14:textId="3D0C3CC2" w:rsidR="008D6D8B" w:rsidRDefault="008D6D8B" w:rsidP="002241C4">
            <w:pPr>
              <w:pStyle w:val="Textoindependiente"/>
              <w:jc w:val="both"/>
              <w:rPr>
                <w:rFonts w:ascii="Open Sans" w:hAnsi="Open Sans" w:cs="Open Sans"/>
                <w:bCs/>
                <w:szCs w:val="24"/>
                <w:lang w:val="es-CR"/>
              </w:rPr>
            </w:pPr>
            <w:r w:rsidRPr="008D6D8B">
              <w:rPr>
                <w:rFonts w:ascii="Open Sans" w:hAnsi="Open Sans" w:cs="Open Sans"/>
                <w:b/>
                <w:szCs w:val="24"/>
                <w:lang w:val="es-CR"/>
              </w:rPr>
              <w:t>El Salvador:</w:t>
            </w:r>
            <w:r>
              <w:rPr>
                <w:rFonts w:ascii="Open Sans" w:hAnsi="Open Sans" w:cs="Open Sans"/>
                <w:bCs/>
                <w:szCs w:val="24"/>
                <w:lang w:val="es-CR"/>
              </w:rPr>
              <w:t xml:space="preserve"> </w:t>
            </w:r>
            <w:r w:rsidRPr="008D6D8B">
              <w:rPr>
                <w:rFonts w:ascii="Open Sans" w:hAnsi="Open Sans" w:cs="Open Sans"/>
                <w:bCs/>
                <w:szCs w:val="24"/>
                <w:lang w:val="es-CR"/>
              </w:rPr>
              <w:t>PQ-06363-2023</w:t>
            </w:r>
          </w:p>
          <w:p w14:paraId="44953F8C" w14:textId="79C5FEA8" w:rsidR="002241C4" w:rsidRPr="002241C4" w:rsidRDefault="002241C4" w:rsidP="002241C4">
            <w:pPr>
              <w:pStyle w:val="Textoindependiente"/>
              <w:jc w:val="both"/>
              <w:rPr>
                <w:b/>
                <w:sz w:val="16"/>
                <w:lang w:val="es-CR"/>
              </w:rPr>
            </w:pPr>
            <w:r>
              <w:rPr>
                <w:b/>
                <w:lang w:val="es-CR"/>
              </w:rPr>
              <w:t xml:space="preserve">Nicaragua: </w:t>
            </w:r>
            <w:r w:rsidRPr="002241C4">
              <w:rPr>
                <w:rFonts w:ascii="Open Sans" w:hAnsi="Open Sans" w:cs="Arial"/>
                <w:bCs/>
                <w:lang w:val="es-CR"/>
              </w:rPr>
              <w:t>03034360823</w:t>
            </w:r>
          </w:p>
        </w:tc>
      </w:tr>
    </w:tbl>
    <w:p w14:paraId="02F4BE39" w14:textId="080EFA66" w:rsidR="00062C44" w:rsidRPr="00AA4667" w:rsidRDefault="000E7557" w:rsidP="00062C44">
      <w:pPr>
        <w:tabs>
          <w:tab w:val="left" w:pos="0"/>
        </w:tabs>
        <w:rPr>
          <w:rFonts w:ascii="Arial" w:hAnsi="Arial" w:cs="Arial"/>
          <w:b/>
          <w:sz w:val="24"/>
          <w:szCs w:val="24"/>
          <w:lang w:val="es-CR"/>
        </w:rPr>
      </w:pPr>
      <w:r>
        <w:rPr>
          <w:noProof/>
        </w:rPr>
        <w:drawing>
          <wp:anchor distT="0" distB="0" distL="114300" distR="114300" simplePos="0" relativeHeight="251666432" behindDoc="0" locked="0" layoutInCell="1" allowOverlap="1" wp14:anchorId="03F6B63C" wp14:editId="153756D1">
            <wp:simplePos x="0" y="0"/>
            <wp:positionH relativeFrom="column">
              <wp:posOffset>866775</wp:posOffset>
            </wp:positionH>
            <wp:positionV relativeFrom="paragraph">
              <wp:posOffset>238125</wp:posOffset>
            </wp:positionV>
            <wp:extent cx="2114102" cy="688969"/>
            <wp:effectExtent l="0" t="0" r="0" b="0"/>
            <wp:wrapNone/>
            <wp:docPr id="34" name="Picture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 descr="Logotipo, nombre de la empresa&#10;&#10;Descripción generada automáticamente"/>
                    <pic:cNvPicPr>
                      <a:picLocks noChangeAspect="1"/>
                    </pic:cNvPicPr>
                  </pic:nvPicPr>
                  <pic:blipFill>
                    <a:blip r:embed="rId8"/>
                    <a:stretch>
                      <a:fillRect/>
                    </a:stretch>
                  </pic:blipFill>
                  <pic:spPr bwMode="auto">
                    <a:xfrm>
                      <a:off x="0" y="0"/>
                      <a:ext cx="2114102" cy="688969"/>
                    </a:xfrm>
                    <a:prstGeom prst="rect">
                      <a:avLst/>
                    </a:prstGeom>
                    <a:noFill/>
                    <a:ln>
                      <a:noFill/>
                    </a:ln>
                  </pic:spPr>
                </pic:pic>
              </a:graphicData>
            </a:graphic>
          </wp:anchor>
        </w:drawing>
      </w:r>
      <w:r w:rsidRPr="00002D48">
        <w:rPr>
          <w:rFonts w:ascii="Open Sans" w:hAnsi="Open Sans" w:cs="Arial"/>
          <w:b/>
          <w:noProof/>
          <w:lang w:val="es-CR" w:eastAsia="es-CR"/>
        </w:rPr>
        <mc:AlternateContent>
          <mc:Choice Requires="wpg">
            <w:drawing>
              <wp:anchor distT="0" distB="0" distL="114300" distR="114300" simplePos="0" relativeHeight="251664384" behindDoc="0" locked="0" layoutInCell="1" allowOverlap="1" wp14:anchorId="4E7B1617" wp14:editId="6C2DA7C0">
                <wp:simplePos x="0" y="0"/>
                <wp:positionH relativeFrom="column">
                  <wp:posOffset>3729355</wp:posOffset>
                </wp:positionH>
                <wp:positionV relativeFrom="paragraph">
                  <wp:posOffset>169545</wp:posOffset>
                </wp:positionV>
                <wp:extent cx="765726" cy="752625"/>
                <wp:effectExtent l="95250" t="95250" r="15875" b="8572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726" cy="752625"/>
                          <a:chOff x="3912" y="1880"/>
                          <a:chExt cx="3876" cy="3930"/>
                        </a:xfrm>
                      </wpg:grpSpPr>
                      <wps:wsp>
                        <wps:cNvPr id="7" name="Rectangle 6"/>
                        <wps:cNvSpPr>
                          <a:spLocks noChangeArrowheads="1"/>
                        </wps:cNvSpPr>
                        <wps:spPr bwMode="auto">
                          <a:xfrm rot="18870003">
                            <a:off x="3912" y="3060"/>
                            <a:ext cx="1620" cy="1620"/>
                          </a:xfrm>
                          <a:prstGeom prst="rect">
                            <a:avLst/>
                          </a:prstGeom>
                          <a:solidFill>
                            <a:srgbClr val="0000FF"/>
                          </a:solidFill>
                          <a:ln w="9525">
                            <a:solidFill>
                              <a:srgbClr val="000000"/>
                            </a:solidFill>
                            <a:miter lim="800000"/>
                            <a:headEnd/>
                            <a:tailEnd/>
                          </a:ln>
                        </wps:spPr>
                        <wps:txbx>
                          <w:txbxContent>
                            <w:p w14:paraId="681DF15B" w14:textId="77777777" w:rsidR="002453EA" w:rsidRPr="005919DB" w:rsidRDefault="009B21D1" w:rsidP="00062C44">
                              <w:pPr>
                                <w:jc w:val="center"/>
                                <w:rPr>
                                  <w:b/>
                                  <w:bCs/>
                                  <w:color w:val="FFFFFF"/>
                                </w:rPr>
                              </w:pPr>
                              <w:r>
                                <w:rPr>
                                  <w:b/>
                                  <w:bCs/>
                                  <w:color w:val="FFFFFF"/>
                                </w:rPr>
                                <w:t>2</w:t>
                              </w:r>
                            </w:p>
                            <w:p w14:paraId="5FC1119D"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18870003">
                            <a:off x="5040" y="1880"/>
                            <a:ext cx="1620" cy="1620"/>
                          </a:xfrm>
                          <a:prstGeom prst="rect">
                            <a:avLst/>
                          </a:prstGeom>
                          <a:solidFill>
                            <a:srgbClr val="FF0000"/>
                          </a:solidFill>
                          <a:ln w="9525">
                            <a:solidFill>
                              <a:srgbClr val="000000"/>
                            </a:solidFill>
                            <a:miter lim="800000"/>
                            <a:headEnd/>
                            <a:tailEnd/>
                          </a:ln>
                        </wps:spPr>
                        <wps:txbx>
                          <w:txbxContent>
                            <w:p w14:paraId="47A2BB33" w14:textId="77777777" w:rsidR="002453EA" w:rsidRPr="005919DB" w:rsidRDefault="00BF5248" w:rsidP="00062C44">
                              <w:pPr>
                                <w:jc w:val="center"/>
                                <w:rPr>
                                  <w:b/>
                                </w:rPr>
                              </w:pPr>
                              <w:r>
                                <w:rPr>
                                  <w:b/>
                                </w:rPr>
                                <w:t>0</w:t>
                              </w:r>
                            </w:p>
                            <w:p w14:paraId="48F461FA"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18870003">
                            <a:off x="5040" y="4190"/>
                            <a:ext cx="1620" cy="1620"/>
                          </a:xfrm>
                          <a:prstGeom prst="rect">
                            <a:avLst/>
                          </a:prstGeom>
                          <a:solidFill>
                            <a:srgbClr val="FFFFFF"/>
                          </a:solidFill>
                          <a:ln w="9525">
                            <a:solidFill>
                              <a:srgbClr val="000000"/>
                            </a:solidFill>
                            <a:miter lim="800000"/>
                            <a:headEnd/>
                            <a:tailEnd/>
                          </a:ln>
                        </wps:spPr>
                        <wps:txbx>
                          <w:txbxContent>
                            <w:p w14:paraId="07CFF24D" w14:textId="77777777" w:rsidR="002453EA" w:rsidRPr="009E1DD1" w:rsidRDefault="002453EA" w:rsidP="00062C44">
                              <w:pPr>
                                <w:rPr>
                                  <w:sz w:val="12"/>
                                  <w:szCs w:val="12"/>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18870003">
                            <a:off x="6168" y="3060"/>
                            <a:ext cx="1620" cy="1620"/>
                          </a:xfrm>
                          <a:prstGeom prst="rect">
                            <a:avLst/>
                          </a:prstGeom>
                          <a:solidFill>
                            <a:srgbClr val="FFFF00"/>
                          </a:solidFill>
                          <a:ln w="9525">
                            <a:solidFill>
                              <a:srgbClr val="000000"/>
                            </a:solidFill>
                            <a:miter lim="800000"/>
                            <a:headEnd/>
                            <a:tailEnd/>
                          </a:ln>
                        </wps:spPr>
                        <wps:txbx>
                          <w:txbxContent>
                            <w:p w14:paraId="43228A5A"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B1617" id="Group 5" o:spid="_x0000_s1027" style="position:absolute;margin-left:293.65pt;margin-top:13.35pt;width:60.3pt;height:59.25pt;z-index:251664384" coordorigin="3912,1880" coordsize="3876,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">
                <v:rect id="Rectangle 6" o:spid="_x0000_s1028" style="position:absolute;left:3912;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681DF15B" w14:textId="77777777" w:rsidR="002453EA" w:rsidRPr="005919DB" w:rsidRDefault="009B21D1" w:rsidP="00062C44">
                        <w:pPr>
                          <w:jc w:val="center"/>
                          <w:rPr>
                            <w:b/>
                            <w:bCs/>
                            <w:color w:val="FFFFFF"/>
                          </w:rPr>
                        </w:pPr>
                        <w:r>
                          <w:rPr>
                            <w:b/>
                            <w:bCs/>
                            <w:color w:val="FFFFFF"/>
                          </w:rPr>
                          <w:t>2</w:t>
                        </w:r>
                      </w:p>
                      <w:p w14:paraId="5FC1119D" w14:textId="77777777" w:rsidR="002453EA" w:rsidRDefault="002453EA" w:rsidP="00062C44">
                        <w:pPr>
                          <w:rPr>
                            <w:b/>
                            <w:bCs/>
                            <w:color w:val="FFFFFF"/>
                            <w:sz w:val="16"/>
                          </w:rPr>
                        </w:pPr>
                      </w:p>
                    </w:txbxContent>
                  </v:textbox>
                </v:rect>
                <v:rect id="Rectangle 7" o:spid="_x0000_s1029" style="position:absolute;left:5040;top:18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47A2BB33" w14:textId="77777777" w:rsidR="002453EA" w:rsidRPr="005919DB" w:rsidRDefault="00BF5248" w:rsidP="00062C44">
                        <w:pPr>
                          <w:jc w:val="center"/>
                          <w:rPr>
                            <w:b/>
                          </w:rPr>
                        </w:pPr>
                        <w:r>
                          <w:rPr>
                            <w:b/>
                          </w:rPr>
                          <w:t>0</w:t>
                        </w:r>
                      </w:p>
                      <w:p w14:paraId="48F461FA" w14:textId="77777777" w:rsidR="002453EA" w:rsidRPr="005919DB" w:rsidRDefault="002453EA" w:rsidP="00062C44">
                        <w:r w:rsidRPr="005919DB">
                          <w:t xml:space="preserve">       </w:t>
                        </w:r>
                      </w:p>
                    </w:txbxContent>
                  </v:textbox>
                </v:rect>
                <v:rect id="Rectangle 8" o:spid="_x0000_s1030" style="position:absolute;left:5040;top:419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07CFF24D" w14:textId="77777777" w:rsidR="002453EA" w:rsidRPr="009E1DD1" w:rsidRDefault="002453EA" w:rsidP="00062C44">
                        <w:pPr>
                          <w:rPr>
                            <w:sz w:val="12"/>
                            <w:szCs w:val="12"/>
                            <w:lang w:val="es-CR"/>
                          </w:rPr>
                        </w:pPr>
                      </w:p>
                    </w:txbxContent>
                  </v:textbox>
                </v:rect>
                <v:rect id="Rectangle 9" o:spid="_x0000_s1031" style="position:absolute;left:6168;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43228A5A" w14:textId="77777777" w:rsidR="002453EA" w:rsidRPr="004F352D" w:rsidRDefault="00143A8C" w:rsidP="00062C44">
                        <w:pPr>
                          <w:jc w:val="center"/>
                          <w:rPr>
                            <w:b/>
                            <w:lang w:val="es-CR"/>
                          </w:rPr>
                        </w:pPr>
                        <w:r>
                          <w:rPr>
                            <w:b/>
                            <w:lang w:val="es-CR"/>
                          </w:rPr>
                          <w:t>0</w:t>
                        </w:r>
                      </w:p>
                    </w:txbxContent>
                  </v:textbox>
                </v:rect>
              </v:group>
            </w:pict>
          </mc:Fallback>
        </mc:AlternateContent>
      </w:r>
    </w:p>
    <w:sectPr w:rsidR="00062C44" w:rsidRPr="00AA4667" w:rsidSect="002D3FE2">
      <w:headerReference w:type="even" r:id="rId9"/>
      <w:headerReference w:type="default" r:id="rId10"/>
      <w:footerReference w:type="even" r:id="rId11"/>
      <w:footerReference w:type="default" r:id="rId12"/>
      <w:headerReference w:type="first" r:id="rId13"/>
      <w:footerReference w:type="first" r:id="rId14"/>
      <w:pgSz w:w="12240" w:h="15840"/>
      <w:pgMar w:top="1985" w:right="475" w:bottom="720" w:left="1282"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C07AA" w14:textId="77777777" w:rsidR="00EB5270" w:rsidRDefault="00EB5270" w:rsidP="000B6D69">
      <w:r>
        <w:separator/>
      </w:r>
    </w:p>
  </w:endnote>
  <w:endnote w:type="continuationSeparator" w:id="0">
    <w:p w14:paraId="5D64358C" w14:textId="77777777" w:rsidR="00EB5270" w:rsidRDefault="00EB5270"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7F74" w14:textId="77777777" w:rsidR="00633EE4" w:rsidRDefault="00633E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2A9BE41D"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2CFE15ED" w14:textId="77777777" w:rsidR="000B6D69" w:rsidRPr="002802F7" w:rsidRDefault="00CD63E9" w:rsidP="00BF5248">
          <w:pPr>
            <w:jc w:val="center"/>
            <w:rPr>
              <w:rFonts w:ascii="Century Gothic" w:hAnsi="Century Gothic"/>
              <w:sz w:val="16"/>
              <w:szCs w:val="16"/>
            </w:rPr>
          </w:pPr>
          <w:r>
            <w:rPr>
              <w:rFonts w:ascii="Century Gothic" w:hAnsi="Century Gothic"/>
              <w:sz w:val="16"/>
              <w:szCs w:val="16"/>
            </w:rPr>
            <w:t xml:space="preserve">KEMTREET </w:t>
          </w:r>
          <w:r w:rsidR="00BF5248">
            <w:rPr>
              <w:rFonts w:ascii="Century Gothic" w:hAnsi="Century Gothic"/>
              <w:sz w:val="16"/>
              <w:szCs w:val="16"/>
            </w:rPr>
            <w:t>2663</w:t>
          </w:r>
        </w:p>
      </w:tc>
    </w:tr>
    <w:tr w:rsidR="000B6D69" w14:paraId="4D7C8DB2" w14:textId="77777777" w:rsidTr="000B6D69">
      <w:tc>
        <w:tcPr>
          <w:tcW w:w="2174" w:type="dxa"/>
          <w:tcBorders>
            <w:top w:val="single" w:sz="4" w:space="0" w:color="auto"/>
            <w:left w:val="single" w:sz="4" w:space="0" w:color="auto"/>
            <w:bottom w:val="nil"/>
            <w:right w:val="nil"/>
          </w:tcBorders>
        </w:tcPr>
        <w:p w14:paraId="398AFD29"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241ED275" w14:textId="77777777" w:rsidR="000B6D69" w:rsidRPr="002802F7" w:rsidRDefault="000B6D69" w:rsidP="00BF5248">
          <w:pPr>
            <w:rPr>
              <w:rFonts w:ascii="Century Gothic" w:hAnsi="Century Gothic"/>
              <w:sz w:val="16"/>
              <w:szCs w:val="16"/>
            </w:rPr>
          </w:pPr>
          <w:r w:rsidRPr="002802F7">
            <w:rPr>
              <w:rFonts w:ascii="Century Gothic" w:hAnsi="Century Gothic"/>
              <w:sz w:val="16"/>
              <w:szCs w:val="16"/>
            </w:rPr>
            <w:t>CEKFT-</w:t>
          </w:r>
          <w:r w:rsidR="00BF5248">
            <w:rPr>
              <w:rFonts w:ascii="Century Gothic" w:hAnsi="Century Gothic"/>
              <w:sz w:val="16"/>
              <w:szCs w:val="16"/>
            </w:rPr>
            <w:t>206</w:t>
          </w:r>
        </w:p>
      </w:tc>
    </w:tr>
    <w:tr w:rsidR="000B6D69" w14:paraId="27DD3664" w14:textId="77777777" w:rsidTr="000B6D69">
      <w:tc>
        <w:tcPr>
          <w:tcW w:w="2174" w:type="dxa"/>
          <w:tcBorders>
            <w:top w:val="nil"/>
            <w:left w:val="single" w:sz="4" w:space="0" w:color="auto"/>
            <w:bottom w:val="nil"/>
            <w:right w:val="nil"/>
          </w:tcBorders>
        </w:tcPr>
        <w:p w14:paraId="3E54D289"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571DA8AF" w14:textId="7050DF21" w:rsidR="000B6D69" w:rsidRPr="002802F7" w:rsidRDefault="009E2195" w:rsidP="009B21D1">
          <w:pPr>
            <w:rPr>
              <w:rFonts w:ascii="Century Gothic" w:hAnsi="Century Gothic"/>
              <w:sz w:val="16"/>
              <w:szCs w:val="16"/>
            </w:rPr>
          </w:pPr>
          <w:r>
            <w:rPr>
              <w:rFonts w:ascii="Century Gothic" w:hAnsi="Century Gothic"/>
              <w:sz w:val="16"/>
              <w:szCs w:val="16"/>
            </w:rPr>
            <w:t>1</w:t>
          </w:r>
          <w:r w:rsidR="00633EE4">
            <w:rPr>
              <w:rFonts w:ascii="Century Gothic" w:hAnsi="Century Gothic"/>
              <w:sz w:val="16"/>
              <w:szCs w:val="16"/>
            </w:rPr>
            <w:t>2</w:t>
          </w:r>
          <w:r w:rsidR="000B6D69">
            <w:rPr>
              <w:rFonts w:ascii="Century Gothic" w:hAnsi="Century Gothic"/>
              <w:sz w:val="16"/>
              <w:szCs w:val="16"/>
            </w:rPr>
            <w:t>-</w:t>
          </w:r>
          <w:r w:rsidR="00157C73">
            <w:rPr>
              <w:rFonts w:ascii="Century Gothic" w:hAnsi="Century Gothic"/>
              <w:sz w:val="16"/>
              <w:szCs w:val="16"/>
            </w:rPr>
            <w:t>11Marz24</w:t>
          </w:r>
        </w:p>
      </w:tc>
    </w:tr>
    <w:tr w:rsidR="000B6D69" w14:paraId="0E985DBF" w14:textId="77777777" w:rsidTr="000B6D69">
      <w:tc>
        <w:tcPr>
          <w:tcW w:w="2174" w:type="dxa"/>
          <w:tcBorders>
            <w:top w:val="nil"/>
            <w:left w:val="single" w:sz="4" w:space="0" w:color="auto"/>
            <w:bottom w:val="nil"/>
            <w:right w:val="nil"/>
          </w:tcBorders>
        </w:tcPr>
        <w:p w14:paraId="6C7C549F"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78C73DBC" w14:textId="453C988E" w:rsidR="000B6D69" w:rsidRPr="002802F7" w:rsidRDefault="00157C73" w:rsidP="009B21D1">
          <w:pPr>
            <w:rPr>
              <w:rFonts w:ascii="Century Gothic" w:hAnsi="Century Gothic"/>
              <w:sz w:val="16"/>
              <w:szCs w:val="16"/>
            </w:rPr>
          </w:pPr>
          <w:r>
            <w:rPr>
              <w:rFonts w:ascii="Century Gothic" w:hAnsi="Century Gothic"/>
              <w:sz w:val="16"/>
              <w:szCs w:val="16"/>
            </w:rPr>
            <w:t>11Marz24</w:t>
          </w:r>
        </w:p>
      </w:tc>
    </w:tr>
    <w:tr w:rsidR="000B6D69" w14:paraId="7383C74B" w14:textId="77777777" w:rsidTr="000B6D69">
      <w:tc>
        <w:tcPr>
          <w:tcW w:w="2174" w:type="dxa"/>
          <w:tcBorders>
            <w:top w:val="nil"/>
            <w:left w:val="single" w:sz="4" w:space="0" w:color="auto"/>
            <w:bottom w:val="nil"/>
            <w:right w:val="nil"/>
          </w:tcBorders>
        </w:tcPr>
        <w:p w14:paraId="06511306"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6F538E37" w14:textId="77777777" w:rsidR="000B6D69" w:rsidRPr="002802F7" w:rsidRDefault="00467C32" w:rsidP="00523790">
          <w:pPr>
            <w:rPr>
              <w:rFonts w:ascii="Century Gothic" w:hAnsi="Century Gothic"/>
              <w:sz w:val="16"/>
              <w:szCs w:val="16"/>
            </w:rPr>
          </w:pPr>
          <w:r>
            <w:rPr>
              <w:rFonts w:ascii="Century Gothic" w:hAnsi="Century Gothic"/>
              <w:sz w:val="16"/>
              <w:szCs w:val="16"/>
            </w:rPr>
            <w:t>09Abr12</w:t>
          </w:r>
        </w:p>
      </w:tc>
    </w:tr>
    <w:tr w:rsidR="000B6D69" w14:paraId="63457F67" w14:textId="77777777" w:rsidTr="000B6D69">
      <w:trPr>
        <w:trHeight w:val="82"/>
      </w:trPr>
      <w:tc>
        <w:tcPr>
          <w:tcW w:w="2174" w:type="dxa"/>
          <w:tcBorders>
            <w:top w:val="nil"/>
            <w:left w:val="single" w:sz="4" w:space="0" w:color="auto"/>
            <w:bottom w:val="single" w:sz="4" w:space="0" w:color="auto"/>
            <w:right w:val="nil"/>
          </w:tcBorders>
        </w:tcPr>
        <w:p w14:paraId="21817711"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7EC19386"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B7188F">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B7188F">
            <w:rPr>
              <w:rFonts w:ascii="Century Gothic" w:hAnsi="Century Gothic"/>
              <w:noProof/>
              <w:sz w:val="16"/>
              <w:szCs w:val="16"/>
            </w:rPr>
            <w:t>2</w:t>
          </w:r>
          <w:r w:rsidRPr="002802F7">
            <w:rPr>
              <w:rFonts w:ascii="Century Gothic" w:hAnsi="Century Gothic"/>
              <w:sz w:val="16"/>
              <w:szCs w:val="16"/>
            </w:rPr>
            <w:fldChar w:fldCharType="end"/>
          </w:r>
        </w:p>
      </w:tc>
    </w:tr>
  </w:tbl>
  <w:p w14:paraId="7C3578D7" w14:textId="77777777" w:rsidR="000B6D69" w:rsidRDefault="000B6D69">
    <w:pPr>
      <w:pStyle w:val="Piedepgina"/>
    </w:pPr>
    <w:r>
      <w:rPr>
        <w:noProof/>
        <w:lang w:val="es-CR" w:eastAsia="es-CR"/>
      </w:rPr>
      <w:drawing>
        <wp:inline distT="0" distB="0" distL="0" distR="0" wp14:anchorId="3BCFC223" wp14:editId="2C578F2F">
          <wp:extent cx="6661150" cy="319430"/>
          <wp:effectExtent l="0" t="0" r="6350" b="4445"/>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D8B7" w14:textId="77777777" w:rsidR="00633EE4" w:rsidRDefault="00633E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37022" w14:textId="77777777" w:rsidR="00EB5270" w:rsidRDefault="00EB5270" w:rsidP="000B6D69">
      <w:r>
        <w:separator/>
      </w:r>
    </w:p>
  </w:footnote>
  <w:footnote w:type="continuationSeparator" w:id="0">
    <w:p w14:paraId="450647DF" w14:textId="77777777" w:rsidR="00EB5270" w:rsidRDefault="00EB5270"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9FD95" w14:textId="77777777" w:rsidR="00633EE4" w:rsidRDefault="00633E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FAA5" w14:textId="19C23C5B" w:rsidR="00A06E76" w:rsidRDefault="000D5691" w:rsidP="00A06E76">
    <w:pPr>
      <w:pStyle w:val="Encabezado"/>
      <w:rPr>
        <w:lang w:val="es-CR"/>
      </w:rPr>
    </w:pPr>
    <w:r>
      <w:rPr>
        <w:noProof/>
        <w:lang w:val="es-CR" w:eastAsia="es-CR"/>
      </w:rPr>
      <w:drawing>
        <wp:anchor distT="0" distB="0" distL="114300" distR="114300" simplePos="0" relativeHeight="251657216" behindDoc="0" locked="0" layoutInCell="1" allowOverlap="1" wp14:anchorId="7B16D79A" wp14:editId="03BEECEC">
          <wp:simplePos x="0" y="0"/>
          <wp:positionH relativeFrom="column">
            <wp:posOffset>-4445</wp:posOffset>
          </wp:positionH>
          <wp:positionV relativeFrom="paragraph">
            <wp:posOffset>-276860</wp:posOffset>
          </wp:positionV>
          <wp:extent cx="6656705" cy="1131702"/>
          <wp:effectExtent l="0" t="0" r="0" b="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14:sizeRelH relativeFrom="page">
            <wp14:pctWidth>0</wp14:pctWidth>
          </wp14:sizeRelH>
          <wp14:sizeRelV relativeFrom="page">
            <wp14:pctHeight>0</wp14:pctHeight>
          </wp14:sizeRelV>
        </wp:anchor>
      </w:drawing>
    </w:r>
  </w:p>
  <w:p w14:paraId="4882476F" w14:textId="4B912195" w:rsidR="00A06E76" w:rsidRDefault="00A06E76">
    <w:pPr>
      <w:pStyle w:val="Encabezado"/>
      <w:rPr>
        <w:lang w:val="es-CR"/>
      </w:rPr>
    </w:pPr>
  </w:p>
  <w:p w14:paraId="48FB4FB4" w14:textId="77777777" w:rsidR="00A06E76" w:rsidRPr="00A06E76" w:rsidRDefault="00A06E76">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A586" w14:textId="77777777" w:rsidR="00633EE4" w:rsidRDefault="00633E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B57E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4"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4175439">
    <w:abstractNumId w:val="2"/>
  </w:num>
  <w:num w:numId="2" w16cid:durableId="369378903">
    <w:abstractNumId w:val="4"/>
  </w:num>
  <w:num w:numId="3" w16cid:durableId="884634910">
    <w:abstractNumId w:val="0"/>
  </w:num>
  <w:num w:numId="4" w16cid:durableId="353967767">
    <w:abstractNumId w:val="3"/>
  </w:num>
  <w:num w:numId="5" w16cid:durableId="345594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CR" w:vendorID="64" w:dllVersion="0" w:nlCheck="1" w:checkStyle="0"/>
  <w:documentProtection w:edit="readOnly" w:formatting="1" w:enforcement="1" w:cryptProviderType="rsaAES" w:cryptAlgorithmClass="hash" w:cryptAlgorithmType="typeAny" w:cryptAlgorithmSid="14" w:cryptSpinCount="100000" w:hash="fl4Oz+VDhZhNeRBZ7l8vMs2NmrQVL7aSM1hRvjjZIm4GET6eenRy5Q+VdXInQMqTNeYuILwsI6so9iOv99U5hQ==" w:salt="YhThHhcPvvFyVoJWFevuF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62C44"/>
    <w:rsid w:val="000A7B88"/>
    <w:rsid w:val="000B5C06"/>
    <w:rsid w:val="000B6D69"/>
    <w:rsid w:val="000D5691"/>
    <w:rsid w:val="000E7557"/>
    <w:rsid w:val="00143A8C"/>
    <w:rsid w:val="00157C73"/>
    <w:rsid w:val="0018413D"/>
    <w:rsid w:val="001E5651"/>
    <w:rsid w:val="002241C4"/>
    <w:rsid w:val="002453EA"/>
    <w:rsid w:val="00247008"/>
    <w:rsid w:val="002635F0"/>
    <w:rsid w:val="002B22FD"/>
    <w:rsid w:val="002D3FE2"/>
    <w:rsid w:val="003578B5"/>
    <w:rsid w:val="00381CF3"/>
    <w:rsid w:val="00415D16"/>
    <w:rsid w:val="00421DCF"/>
    <w:rsid w:val="004226AD"/>
    <w:rsid w:val="00467C32"/>
    <w:rsid w:val="004B48E0"/>
    <w:rsid w:val="004B55A7"/>
    <w:rsid w:val="004F352D"/>
    <w:rsid w:val="006028C5"/>
    <w:rsid w:val="00633EE4"/>
    <w:rsid w:val="00640A07"/>
    <w:rsid w:val="0066721C"/>
    <w:rsid w:val="006929EE"/>
    <w:rsid w:val="007461C7"/>
    <w:rsid w:val="00812D51"/>
    <w:rsid w:val="00822ACA"/>
    <w:rsid w:val="00850C1C"/>
    <w:rsid w:val="00862124"/>
    <w:rsid w:val="008C2137"/>
    <w:rsid w:val="008D6D8B"/>
    <w:rsid w:val="00965AA4"/>
    <w:rsid w:val="00970B2D"/>
    <w:rsid w:val="009B21D1"/>
    <w:rsid w:val="009E1DD1"/>
    <w:rsid w:val="009E2195"/>
    <w:rsid w:val="00A06E76"/>
    <w:rsid w:val="00AA2CD2"/>
    <w:rsid w:val="00AA4667"/>
    <w:rsid w:val="00AF57DD"/>
    <w:rsid w:val="00B03263"/>
    <w:rsid w:val="00B27C99"/>
    <w:rsid w:val="00B55982"/>
    <w:rsid w:val="00B7188F"/>
    <w:rsid w:val="00BA201A"/>
    <w:rsid w:val="00BB571B"/>
    <w:rsid w:val="00BC016E"/>
    <w:rsid w:val="00BF5248"/>
    <w:rsid w:val="00C556AF"/>
    <w:rsid w:val="00C92F24"/>
    <w:rsid w:val="00C93B25"/>
    <w:rsid w:val="00CD63E9"/>
    <w:rsid w:val="00CF62DD"/>
    <w:rsid w:val="00D27632"/>
    <w:rsid w:val="00D40EA2"/>
    <w:rsid w:val="00D56853"/>
    <w:rsid w:val="00D9421A"/>
    <w:rsid w:val="00DA0EEA"/>
    <w:rsid w:val="00DA48A5"/>
    <w:rsid w:val="00DE279F"/>
    <w:rsid w:val="00DF46C3"/>
    <w:rsid w:val="00E31B71"/>
    <w:rsid w:val="00EB5270"/>
    <w:rsid w:val="00ED5DE4"/>
    <w:rsid w:val="00F5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702363"/>
  <w14:defaultImageDpi w14:val="300"/>
  <w15:docId w15:val="{913CB40E-AFCF-447C-B6D2-F7F5D964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 w:type="paragraph" w:styleId="Textoindependiente">
    <w:name w:val="Body Text"/>
    <w:basedOn w:val="Normal"/>
    <w:link w:val="TextoindependienteCar"/>
    <w:uiPriority w:val="99"/>
    <w:unhideWhenUsed/>
    <w:rsid w:val="00AA2CD2"/>
    <w:pPr>
      <w:spacing w:after="120"/>
    </w:pPr>
  </w:style>
  <w:style w:type="character" w:customStyle="1" w:styleId="TextoindependienteCar">
    <w:name w:val="Texto independiente Car"/>
    <w:basedOn w:val="Fuentedeprrafopredeter"/>
    <w:link w:val="Textoindependiente"/>
    <w:uiPriority w:val="99"/>
    <w:rsid w:val="00AA2C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9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0249-3314-4259-B48B-1267C4DC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464</Words>
  <Characters>2552</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18</cp:revision>
  <cp:lastPrinted>2021-03-04T17:01:00Z</cp:lastPrinted>
  <dcterms:created xsi:type="dcterms:W3CDTF">2018-02-14T20:44:00Z</dcterms:created>
  <dcterms:modified xsi:type="dcterms:W3CDTF">2024-04-08T16:52:00Z</dcterms:modified>
</cp:coreProperties>
</file>