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BCB2" w14:textId="77777777" w:rsidR="00062C44" w:rsidRPr="004F352D" w:rsidRDefault="003578B5" w:rsidP="00A06E7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CT-</w:t>
      </w:r>
      <w:r w:rsidR="00335DBD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606</w:t>
      </w:r>
    </w:p>
    <w:p w14:paraId="6A6EC384" w14:textId="77777777" w:rsidR="000B6D69" w:rsidRDefault="003578B5" w:rsidP="002635F0">
      <w:pPr>
        <w:tabs>
          <w:tab w:val="left" w:pos="0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 xml:space="preserve">TRATAMIENTO </w:t>
      </w:r>
      <w:r w:rsidR="00335DBD">
        <w:rPr>
          <w:rFonts w:ascii="Open Sans" w:hAnsi="Open Sans" w:cs="Arial"/>
          <w:b/>
          <w:sz w:val="32"/>
          <w:szCs w:val="32"/>
          <w:lang w:val="es-CR"/>
        </w:rPr>
        <w:t>DE</w:t>
      </w:r>
      <w:r>
        <w:rPr>
          <w:rFonts w:ascii="Open Sans" w:hAnsi="Open Sans" w:cs="Arial"/>
          <w:b/>
          <w:sz w:val="32"/>
          <w:szCs w:val="32"/>
          <w:lang w:val="es-CR"/>
        </w:rPr>
        <w:t xml:space="preserve"> AGUAS </w:t>
      </w:r>
    </w:p>
    <w:p w14:paraId="364F8A67" w14:textId="77777777" w:rsidR="00062C44" w:rsidRPr="003968A4" w:rsidRDefault="0024201B" w:rsidP="004F352D">
      <w:pPr>
        <w:pStyle w:val="Prrafodelista"/>
        <w:numPr>
          <w:ilvl w:val="0"/>
          <w:numId w:val="4"/>
        </w:numPr>
        <w:tabs>
          <w:tab w:val="left" w:pos="0"/>
        </w:tabs>
        <w:ind w:left="1800"/>
        <w:rPr>
          <w:rFonts w:ascii="Open Sans" w:hAnsi="Open Sans" w:cs="Arial"/>
          <w:b/>
          <w:sz w:val="24"/>
          <w:szCs w:val="24"/>
        </w:rPr>
      </w:pPr>
      <w:r w:rsidRPr="003968A4">
        <w:rPr>
          <w:rFonts w:ascii="Open Sans" w:hAnsi="Open Sans" w:cs="Arial"/>
          <w:b/>
          <w:sz w:val="24"/>
          <w:szCs w:val="24"/>
        </w:rPr>
        <w:t>SURFACTANTE NO IONICO</w:t>
      </w:r>
    </w:p>
    <w:p w14:paraId="1677CF38" w14:textId="3DE46435" w:rsidR="00143A8C" w:rsidRPr="00111747" w:rsidRDefault="00111747" w:rsidP="00111747">
      <w:pPr>
        <w:pStyle w:val="Prrafodelista"/>
        <w:numPr>
          <w:ilvl w:val="0"/>
          <w:numId w:val="4"/>
        </w:numPr>
        <w:tabs>
          <w:tab w:val="left" w:pos="0"/>
        </w:tabs>
        <w:ind w:left="1800"/>
        <w:rPr>
          <w:rFonts w:ascii="Open Sans" w:hAnsi="Open Sans" w:cs="Arial"/>
          <w:b/>
          <w:sz w:val="24"/>
          <w:szCs w:val="24"/>
        </w:rPr>
      </w:pPr>
      <w:r w:rsidRPr="00002D48">
        <w:rPr>
          <w:rFonts w:ascii="Open Sans" w:hAnsi="Open Sans" w:cs="Arial"/>
          <w:b/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11FEBC" wp14:editId="61A31573">
                <wp:simplePos x="0" y="0"/>
                <wp:positionH relativeFrom="column">
                  <wp:posOffset>3067685</wp:posOffset>
                </wp:positionH>
                <wp:positionV relativeFrom="paragraph">
                  <wp:posOffset>5949315</wp:posOffset>
                </wp:positionV>
                <wp:extent cx="746760" cy="723900"/>
                <wp:effectExtent l="95250" t="95250" r="1524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39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267D7" w14:textId="77777777" w:rsidR="002453EA" w:rsidRPr="005919DB" w:rsidRDefault="00335DB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2AB651B6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4A5F7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21CFF755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16BE7" w14:textId="77777777" w:rsidR="002453EA" w:rsidRPr="009E1DD1" w:rsidRDefault="002453EA" w:rsidP="00062C44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EAAD5" w14:textId="77777777" w:rsidR="002453EA" w:rsidRPr="004F352D" w:rsidRDefault="00143A8C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1FEBC" id="Group 5" o:spid="_x0000_s1026" style="position:absolute;left:0;text-align:left;margin-left:241.55pt;margin-top:468.45pt;width:58.8pt;height:5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">
                <v:rect id="Rectangle 6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0AE267D7" w14:textId="77777777" w:rsidR="002453EA" w:rsidRPr="005919DB" w:rsidRDefault="00335DBD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0</w:t>
                        </w:r>
                      </w:p>
                      <w:p w14:paraId="2AB651B6" w14:textId="77777777" w:rsidR="002453EA" w:rsidRDefault="002453EA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7F34A5F7" w14:textId="77777777" w:rsidR="002453EA" w:rsidRPr="005919DB" w:rsidRDefault="002453EA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21CFF755" w14:textId="77777777" w:rsidR="002453EA" w:rsidRPr="005919DB" w:rsidRDefault="002453EA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1C116BE7" w14:textId="77777777" w:rsidR="002453EA" w:rsidRPr="009E1DD1" w:rsidRDefault="002453EA" w:rsidP="00062C44">
                        <w:pPr>
                          <w:rPr>
                            <w:sz w:val="12"/>
                            <w:szCs w:val="12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3B6EAAD5" w14:textId="77777777" w:rsidR="002453EA" w:rsidRPr="004F352D" w:rsidRDefault="00143A8C" w:rsidP="00062C44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02D48">
        <w:rPr>
          <w:rFonts w:ascii="Open Sans" w:hAnsi="Open Sans" w:cs="Arial"/>
          <w:b/>
          <w:noProof/>
          <w:lang w:eastAsia="es-CR"/>
        </w:rPr>
        <w:drawing>
          <wp:anchor distT="0" distB="0" distL="114300" distR="114300" simplePos="0" relativeHeight="251668480" behindDoc="1" locked="0" layoutInCell="1" allowOverlap="1" wp14:anchorId="4EB58F3F" wp14:editId="34EA2B20">
            <wp:simplePos x="0" y="0"/>
            <wp:positionH relativeFrom="column">
              <wp:posOffset>1809115</wp:posOffset>
            </wp:positionH>
            <wp:positionV relativeFrom="paragraph">
              <wp:posOffset>5999480</wp:posOffset>
            </wp:positionV>
            <wp:extent cx="869904" cy="701040"/>
            <wp:effectExtent l="0" t="0" r="698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0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E8B" w:rsidRPr="003968A4">
        <w:rPr>
          <w:rFonts w:ascii="Open Sans" w:hAnsi="Open Sans" w:cs="Arial"/>
          <w:b/>
          <w:sz w:val="24"/>
          <w:szCs w:val="24"/>
        </w:rPr>
        <w:t>PRODUCTO COMPLEMENTARIO</w:t>
      </w:r>
      <w:r w:rsidR="00C47852" w:rsidRPr="003968A4">
        <w:rPr>
          <w:rFonts w:ascii="Open Sans" w:hAnsi="Open Sans" w:cs="Arial"/>
          <w:b/>
          <w:sz w:val="24"/>
          <w:szCs w:val="24"/>
        </w:rPr>
        <w:t xml:space="preserve"> (ADJUNT)</w:t>
      </w:r>
      <w:r w:rsidR="001E7E8B" w:rsidRPr="003968A4">
        <w:rPr>
          <w:rFonts w:ascii="Open Sans" w:hAnsi="Open Sans" w:cs="Arial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27EBC831" w14:textId="77777777" w:rsidTr="004F352D">
        <w:tc>
          <w:tcPr>
            <w:tcW w:w="5048" w:type="dxa"/>
            <w:shd w:val="clear" w:color="auto" w:fill="334F84"/>
          </w:tcPr>
          <w:p w14:paraId="0D554D38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1C8027D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7B849241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2461F" w14:paraId="3BBF712B" w14:textId="77777777" w:rsidTr="004F352D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1B6BCDF4" w14:textId="77777777" w:rsidR="003578B5" w:rsidRDefault="00335DBD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35DBD">
              <w:rPr>
                <w:rFonts w:ascii="Open Sans" w:hAnsi="Open Sans" w:cs="Arial"/>
                <w:lang w:val="es-CR"/>
              </w:rPr>
              <w:t>Surfactante con antiespumante efectivo como tratamiento para la emulsificación de aceites y grasas en sistemas de recirculación de agua así como también en sistemas de un sólo paso. El CT-606 también mejorará el desempeño de los biocidas clorinados y no oxidantes en la remoción de algas y masas de lodo.</w:t>
            </w:r>
          </w:p>
          <w:p w14:paraId="11C8CE6E" w14:textId="77777777" w:rsidR="00335DBD" w:rsidRPr="002635F0" w:rsidRDefault="00335DBD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5FA3FBB2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30FBBC2C" w14:textId="77777777" w:rsidR="00335DBD" w:rsidRPr="00335DBD" w:rsidRDefault="00335DBD" w:rsidP="00335DBD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35DBD">
              <w:rPr>
                <w:rFonts w:ascii="Open Sans" w:hAnsi="Open Sans" w:cs="Arial"/>
                <w:b/>
                <w:lang w:val="es-CR"/>
              </w:rPr>
              <w:t>Sistemas de recirculación:</w:t>
            </w:r>
            <w:r w:rsidRPr="00335DBD">
              <w:rPr>
                <w:rFonts w:ascii="Open Sans" w:hAnsi="Open Sans" w:cs="Arial"/>
                <w:lang w:val="es-CR"/>
              </w:rPr>
              <w:t xml:space="preserve"> Para limpieza inicial de un sistema de enfriamiento nuevo, o cuando es necesaria una limpieza de aceite grande, utilice el CT-606 en </w:t>
            </w:r>
            <w:r w:rsidR="003968A4" w:rsidRPr="00335DBD">
              <w:rPr>
                <w:rFonts w:ascii="Open Sans" w:hAnsi="Open Sans" w:cs="Arial"/>
                <w:lang w:val="es-CR"/>
              </w:rPr>
              <w:t>concentraciones de</w:t>
            </w:r>
            <w:r w:rsidRPr="00335DBD">
              <w:rPr>
                <w:rFonts w:ascii="Open Sans" w:hAnsi="Open Sans" w:cs="Arial"/>
                <w:lang w:val="es-CR"/>
              </w:rPr>
              <w:t xml:space="preserve"> 1000 – 2000 ppm por 24 horas. Si se desea utilizar el CT-606 como potenciador de un </w:t>
            </w:r>
            <w:r w:rsidR="003968A4" w:rsidRPr="00335DBD">
              <w:rPr>
                <w:rFonts w:ascii="Open Sans" w:hAnsi="Open Sans" w:cs="Arial"/>
                <w:lang w:val="es-CR"/>
              </w:rPr>
              <w:t>biocida o</w:t>
            </w:r>
            <w:r w:rsidRPr="00335DBD">
              <w:rPr>
                <w:rFonts w:ascii="Open Sans" w:hAnsi="Open Sans" w:cs="Arial"/>
                <w:lang w:val="es-CR"/>
              </w:rPr>
              <w:t xml:space="preserve"> para controlar un problema menor de contaminación provocada por aceite utilice concentraciones de 30 – 60 ppm de manera continua.  </w:t>
            </w:r>
          </w:p>
          <w:p w14:paraId="446EBC06" w14:textId="77777777" w:rsidR="000B6D69" w:rsidRDefault="00335DBD" w:rsidP="00335DBD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35DBD">
              <w:rPr>
                <w:rFonts w:ascii="Open Sans" w:hAnsi="Open Sans" w:cs="Arial"/>
                <w:b/>
                <w:lang w:val="es-CR"/>
              </w:rPr>
              <w:t>Sistemas de un solo paso:</w:t>
            </w:r>
            <w:r w:rsidRPr="00335DBD">
              <w:rPr>
                <w:rFonts w:ascii="Open Sans" w:hAnsi="Open Sans" w:cs="Arial"/>
                <w:lang w:val="es-CR"/>
              </w:rPr>
              <w:t xml:space="preserve"> para mantener la limpieza de condensadores e intercambiadores de calor aplique CT-606 en concentraciones </w:t>
            </w:r>
            <w:r w:rsidR="003968A4" w:rsidRPr="00335DBD">
              <w:rPr>
                <w:rFonts w:ascii="Open Sans" w:hAnsi="Open Sans" w:cs="Arial"/>
                <w:lang w:val="es-CR"/>
              </w:rPr>
              <w:t>de 3</w:t>
            </w:r>
            <w:r w:rsidRPr="00335DBD">
              <w:rPr>
                <w:rFonts w:ascii="Open Sans" w:hAnsi="Open Sans" w:cs="Arial"/>
                <w:lang w:val="es-CR"/>
              </w:rPr>
              <w:t xml:space="preserve"> – 6 ppm por periodos de tiempo de 15 a 30 minutos justo antes de la cloración.</w:t>
            </w:r>
          </w:p>
          <w:p w14:paraId="67301C6D" w14:textId="77777777" w:rsidR="00335DBD" w:rsidRPr="00AF57DD" w:rsidRDefault="00335DBD" w:rsidP="00335DBD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0D8BFE26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3A6543D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59E8FC1A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5A1C5F9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82461F" w14:paraId="677F345B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4EA1A68F" w14:textId="77777777" w:rsidR="00062C44" w:rsidRPr="004F352D" w:rsidRDefault="003968A4" w:rsidP="003968A4">
            <w:pPr>
              <w:tabs>
                <w:tab w:val="left" w:pos="709"/>
              </w:tabs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3968A4">
              <w:rPr>
                <w:rFonts w:ascii="Open Sans" w:hAnsi="Open Sans" w:cs="Arial"/>
                <w:lang w:val="es-CR"/>
              </w:rPr>
              <w:t>Dispersion de coke y ceniza, carbon fino, emulsificacion de aceite sintetico, en sistemas de enfriamiento, este como producto complementario (adjunt) en el programa preventivo existente.</w:t>
            </w:r>
          </w:p>
        </w:tc>
        <w:tc>
          <w:tcPr>
            <w:tcW w:w="279" w:type="dxa"/>
            <w:tcMar>
              <w:top w:w="113" w:type="dxa"/>
            </w:tcMar>
          </w:tcPr>
          <w:p w14:paraId="2A7FA2FA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35E5BE18" w14:textId="77777777" w:rsidR="00335DBD" w:rsidRDefault="00335DBD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35DBD">
              <w:rPr>
                <w:rFonts w:ascii="Open Sans" w:hAnsi="Open Sans" w:cs="Arial"/>
                <w:lang w:val="es-CR"/>
              </w:rPr>
              <w:t>Puede irritar los ojos, piel y membranas mucosas.  Evite el contacto con los ojos y piel.  Refiérase a la Hoja de Seguridad del producto para obtener mayor información</w:t>
            </w:r>
            <w:r>
              <w:rPr>
                <w:rFonts w:ascii="Open Sans" w:hAnsi="Open Sans" w:cs="Arial"/>
                <w:lang w:val="es-CR"/>
              </w:rPr>
              <w:t>.</w:t>
            </w:r>
          </w:p>
          <w:p w14:paraId="355A6270" w14:textId="10A570D1" w:rsidR="00111747" w:rsidRPr="002635F0" w:rsidRDefault="00111747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52C94F41" w14:textId="77777777" w:rsidTr="00970B2D">
        <w:tc>
          <w:tcPr>
            <w:tcW w:w="5048" w:type="dxa"/>
            <w:shd w:val="clear" w:color="auto" w:fill="334F84"/>
          </w:tcPr>
          <w:p w14:paraId="35D1A52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6BAD0AB" w14:textId="77777777" w:rsidR="00062C44" w:rsidRPr="00DA0EEA" w:rsidRDefault="000B6D6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397CA" wp14:editId="3C33034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-15240</wp:posOffset>
                      </wp:positionV>
                      <wp:extent cx="3314700" cy="403860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6301D7" w14:textId="77777777" w:rsidR="002453EA" w:rsidRPr="004F352D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397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left:0;text-align:left;margin-left:1.5pt;margin-top:-1.2pt;width:261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" stroked="f">
                      <v:textbox>
                        <w:txbxContent>
                          <w:p w14:paraId="636301D7" w14:textId="77777777" w:rsidR="002453EA" w:rsidRPr="004F352D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</w:tcPr>
          <w:p w14:paraId="07E40CBC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82461F" w14:paraId="06746414" w14:textId="77777777" w:rsidTr="00970B2D">
        <w:tc>
          <w:tcPr>
            <w:tcW w:w="5048" w:type="dxa"/>
          </w:tcPr>
          <w:p w14:paraId="2933B948" w14:textId="77777777" w:rsidR="00111747" w:rsidRPr="004F352D" w:rsidRDefault="00111747" w:rsidP="00111747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Líquido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blanco lechoso</w:t>
            </w:r>
          </w:p>
          <w:p w14:paraId="4057C524" w14:textId="77777777" w:rsidR="00111747" w:rsidRPr="004F352D" w:rsidRDefault="00111747" w:rsidP="00111747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pH </w:t>
            </w: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2.5%</w:t>
            </w: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5.50-7.50</w:t>
            </w:r>
          </w:p>
          <w:p w14:paraId="0232C296" w14:textId="77777777" w:rsidR="00111747" w:rsidRPr="004F352D" w:rsidRDefault="00111747" w:rsidP="00111747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1.002-1015</w:t>
            </w:r>
          </w:p>
          <w:p w14:paraId="705F930F" w14:textId="77777777" w:rsidR="00111747" w:rsidRPr="003968A4" w:rsidRDefault="00111747" w:rsidP="00111747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Contenido de fósforo: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Pr="003968A4">
              <w:rPr>
                <w:rFonts w:ascii="Open Sans" w:eastAsia="Times New Roman" w:hAnsi="Open Sans" w:cs="Arial"/>
                <w:sz w:val="20"/>
                <w:szCs w:val="20"/>
              </w:rPr>
              <w:t>No hay.</w:t>
            </w:r>
          </w:p>
          <w:p w14:paraId="1D99AADA" w14:textId="77777777" w:rsidR="00111747" w:rsidRPr="003968A4" w:rsidRDefault="00111747" w:rsidP="00111747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3968A4">
              <w:rPr>
                <w:rFonts w:ascii="Open Sans" w:eastAsia="Times New Roman" w:hAnsi="Open Sans" w:cs="Arial"/>
                <w:b/>
                <w:sz w:val="20"/>
                <w:szCs w:val="20"/>
              </w:rPr>
              <w:t>Peligro mayor:</w:t>
            </w:r>
            <w:r w:rsidRPr="003968A4">
              <w:rPr>
                <w:rFonts w:ascii="Open Sans" w:eastAsia="Times New Roman" w:hAnsi="Open Sans" w:cs="Arial"/>
                <w:sz w:val="20"/>
                <w:szCs w:val="20"/>
              </w:rPr>
              <w:t xml:space="preserve"> Irritación en ojos.</w:t>
            </w:r>
          </w:p>
          <w:p w14:paraId="16F75F89" w14:textId="636F12BC" w:rsidR="00062C44" w:rsidRPr="00111747" w:rsidRDefault="00111747" w:rsidP="00111747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jc w:val="both"/>
            </w:pPr>
            <w:r w:rsidRPr="003968A4"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Composición: </w:t>
            </w:r>
            <w:r w:rsidRPr="003968A4">
              <w:rPr>
                <w:rFonts w:ascii="Open Sans" w:eastAsia="Times New Roman" w:hAnsi="Open Sans" w:cs="Arial"/>
                <w:sz w:val="20"/>
                <w:szCs w:val="20"/>
              </w:rPr>
              <w:t xml:space="preserve">Surfactante no iónico, agente para suspender </w:t>
            </w:r>
            <w:r w:rsidRPr="003968A4">
              <w:rPr>
                <w:rFonts w:ascii="Open Sans" w:hAnsi="Open Sans" w:cs="Arial"/>
              </w:rPr>
              <w:t>suciedad.</w:t>
            </w:r>
          </w:p>
        </w:tc>
        <w:tc>
          <w:tcPr>
            <w:tcW w:w="279" w:type="dxa"/>
          </w:tcPr>
          <w:p w14:paraId="2B18CB36" w14:textId="77777777" w:rsidR="00062C44" w:rsidRPr="004F352D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7138922F" w14:textId="77777777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224CFE6D" w14:textId="77777777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EC95E0E" w14:textId="4326ADC0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7C73D2C7" w14:textId="792A62EA" w:rsidR="00062C44" w:rsidRDefault="00002D48" w:rsidP="00335DBD">
            <w:pPr>
              <w:tabs>
                <w:tab w:val="left" w:pos="3000"/>
                <w:tab w:val="left" w:pos="3852"/>
              </w:tabs>
              <w:rPr>
                <w:rFonts w:ascii="Open Sans" w:hAnsi="Open Sans" w:cs="Arial"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 xml:space="preserve">El </w:t>
            </w:r>
            <w:r>
              <w:rPr>
                <w:rFonts w:ascii="Open Sans" w:hAnsi="Open Sans" w:cs="Arial"/>
                <w:b/>
                <w:lang w:val="es-CR"/>
              </w:rPr>
              <w:t>Salvador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: </w:t>
            </w:r>
            <w:r w:rsidR="0082461F" w:rsidRPr="0082461F">
              <w:rPr>
                <w:rFonts w:ascii="Open Sans" w:hAnsi="Open Sans" w:cs="Arial"/>
                <w:lang w:val="es-CR"/>
              </w:rPr>
              <w:t>PQ00947-2011</w:t>
            </w:r>
          </w:p>
          <w:p w14:paraId="0E2A43B6" w14:textId="77B08D37" w:rsidR="00F37B2C" w:rsidRPr="00002D48" w:rsidRDefault="00F37B2C" w:rsidP="00335DBD">
            <w:pPr>
              <w:tabs>
                <w:tab w:val="left" w:pos="3000"/>
                <w:tab w:val="left" w:pos="3852"/>
              </w:tabs>
              <w:rPr>
                <w:rFonts w:ascii="Open Sans" w:hAnsi="Open Sans" w:cs="Arial"/>
                <w:b/>
                <w:lang w:val="es-CR"/>
              </w:rPr>
            </w:pPr>
          </w:p>
        </w:tc>
      </w:tr>
    </w:tbl>
    <w:p w14:paraId="3A300744" w14:textId="77777777" w:rsidR="00062C44" w:rsidRPr="00AA4667" w:rsidRDefault="00062C44" w:rsidP="00111747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AA4667" w:rsidSect="00111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75" w:bottom="720" w:left="1282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0D842" w14:textId="77777777" w:rsidR="009F7687" w:rsidRDefault="009F7687" w:rsidP="000B6D69">
      <w:r>
        <w:separator/>
      </w:r>
    </w:p>
  </w:endnote>
  <w:endnote w:type="continuationSeparator" w:id="0">
    <w:p w14:paraId="16C72FB9" w14:textId="77777777" w:rsidR="009F7687" w:rsidRDefault="009F7687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B8C8" w14:textId="77777777" w:rsidR="00BB24A1" w:rsidRDefault="00BB24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61A39229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608A3A" w14:textId="77777777" w:rsidR="000B6D69" w:rsidRPr="002802F7" w:rsidRDefault="00143A8C" w:rsidP="00335DBD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CT-</w:t>
          </w:r>
          <w:r w:rsidR="00335DBD">
            <w:rPr>
              <w:rFonts w:ascii="Century Gothic" w:hAnsi="Century Gothic"/>
              <w:sz w:val="16"/>
              <w:szCs w:val="16"/>
            </w:rPr>
            <w:t>606</w:t>
          </w:r>
        </w:p>
      </w:tc>
    </w:tr>
    <w:tr w:rsidR="000B6D69" w14:paraId="7414CBC3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5B2B067C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1CA4A9DA" w14:textId="77777777" w:rsidR="000B6D69" w:rsidRPr="002802F7" w:rsidRDefault="000B6D69" w:rsidP="00335DBD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335DBD">
            <w:rPr>
              <w:rFonts w:ascii="Century Gothic" w:hAnsi="Century Gothic"/>
              <w:sz w:val="16"/>
              <w:szCs w:val="16"/>
            </w:rPr>
            <w:t>039</w:t>
          </w:r>
        </w:p>
      </w:tc>
    </w:tr>
    <w:tr w:rsidR="000B6D69" w14:paraId="0E6F039A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CD9E13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DA0D743" w14:textId="041E28E6" w:rsidR="000B6D69" w:rsidRPr="002802F7" w:rsidRDefault="003968A4" w:rsidP="00335DBD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5966BD">
            <w:rPr>
              <w:rFonts w:ascii="Century Gothic" w:hAnsi="Century Gothic"/>
              <w:sz w:val="16"/>
              <w:szCs w:val="16"/>
            </w:rPr>
            <w:t>5-04Abr24</w:t>
          </w:r>
        </w:p>
      </w:tc>
    </w:tr>
    <w:tr w:rsidR="000B6D69" w14:paraId="1334A377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3E9F1C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0EC458A" w14:textId="1AA9E26A" w:rsidR="000B6D69" w:rsidRPr="002802F7" w:rsidRDefault="005966BD" w:rsidP="00335DBD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04Abr24</w:t>
          </w:r>
        </w:p>
      </w:tc>
    </w:tr>
    <w:tr w:rsidR="000B6D69" w14:paraId="5CAD9CD9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56FC805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C596613" w14:textId="77777777" w:rsidR="000B6D69" w:rsidRPr="002802F7" w:rsidRDefault="00335DBD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09Abr12</w:t>
          </w:r>
        </w:p>
      </w:tc>
    </w:tr>
    <w:tr w:rsidR="000B6D69" w14:paraId="7CF65E2F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B6728A5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F8F066E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9F218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9F218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12882212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25CCA9BB" wp14:editId="379828D3">
          <wp:extent cx="6661150" cy="319430"/>
          <wp:effectExtent l="0" t="0" r="6350" b="4445"/>
          <wp:docPr id="2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0C22" w14:textId="77777777" w:rsidR="00BB24A1" w:rsidRDefault="00BB24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9CA5" w14:textId="77777777" w:rsidR="009F7687" w:rsidRDefault="009F7687" w:rsidP="000B6D69">
      <w:r>
        <w:separator/>
      </w:r>
    </w:p>
  </w:footnote>
  <w:footnote w:type="continuationSeparator" w:id="0">
    <w:p w14:paraId="40571A30" w14:textId="77777777" w:rsidR="009F7687" w:rsidRDefault="009F7687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547B" w14:textId="77777777" w:rsidR="00BB24A1" w:rsidRDefault="00BB24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C463" w14:textId="77777777" w:rsidR="00A06E76" w:rsidRDefault="00A06E76" w:rsidP="00A06E76">
    <w:pPr>
      <w:pStyle w:val="Encabezado"/>
      <w:rPr>
        <w:lang w:val="es-CR"/>
      </w:rPr>
    </w:pPr>
  </w:p>
  <w:p w14:paraId="735BAB13" w14:textId="433E2A5B" w:rsidR="00A06E76" w:rsidRP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D5710D3" wp14:editId="402D52C2">
          <wp:extent cx="6656705" cy="1131702"/>
          <wp:effectExtent l="0" t="0" r="0" b="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01939" w14:textId="77777777" w:rsidR="00BB24A1" w:rsidRDefault="00BB24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7607243">
    <w:abstractNumId w:val="1"/>
  </w:num>
  <w:num w:numId="2" w16cid:durableId="744032786">
    <w:abstractNumId w:val="3"/>
  </w:num>
  <w:num w:numId="3" w16cid:durableId="424497888">
    <w:abstractNumId w:val="0"/>
  </w:num>
  <w:num w:numId="4" w16cid:durableId="140471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XMk8mDL8xhBMx3GEz9WrXYi5lF0fmR5Uicmj7iNV5JJ2W5cN1X/9NasKjJDznM/fuvUzmOgIiEJS4Z8n0hAjw==" w:salt="bab7v0JHT2f71JJCcD5Lb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62C44"/>
    <w:rsid w:val="000B5C06"/>
    <w:rsid w:val="000B6D69"/>
    <w:rsid w:val="00111747"/>
    <w:rsid w:val="00143A8C"/>
    <w:rsid w:val="0018413D"/>
    <w:rsid w:val="001E5651"/>
    <w:rsid w:val="001E7E8B"/>
    <w:rsid w:val="0024201B"/>
    <w:rsid w:val="002453EA"/>
    <w:rsid w:val="00247008"/>
    <w:rsid w:val="002635F0"/>
    <w:rsid w:val="002B22FD"/>
    <w:rsid w:val="002F2DE5"/>
    <w:rsid w:val="00335DBD"/>
    <w:rsid w:val="003578B5"/>
    <w:rsid w:val="00381CF3"/>
    <w:rsid w:val="00393D6B"/>
    <w:rsid w:val="003968A4"/>
    <w:rsid w:val="003C4F28"/>
    <w:rsid w:val="00415D16"/>
    <w:rsid w:val="00421DCF"/>
    <w:rsid w:val="004B48E0"/>
    <w:rsid w:val="004B55A7"/>
    <w:rsid w:val="004F352D"/>
    <w:rsid w:val="005966BD"/>
    <w:rsid w:val="005C307B"/>
    <w:rsid w:val="00640A07"/>
    <w:rsid w:val="0066721C"/>
    <w:rsid w:val="006929EE"/>
    <w:rsid w:val="007461C7"/>
    <w:rsid w:val="00812D51"/>
    <w:rsid w:val="0082461F"/>
    <w:rsid w:val="00850C1C"/>
    <w:rsid w:val="008E6816"/>
    <w:rsid w:val="00965AA4"/>
    <w:rsid w:val="00970B2D"/>
    <w:rsid w:val="009E1DD1"/>
    <w:rsid w:val="009F2180"/>
    <w:rsid w:val="009F7687"/>
    <w:rsid w:val="00A06E76"/>
    <w:rsid w:val="00AA4667"/>
    <w:rsid w:val="00AF57DD"/>
    <w:rsid w:val="00B27C99"/>
    <w:rsid w:val="00B55982"/>
    <w:rsid w:val="00BA201A"/>
    <w:rsid w:val="00BB24A1"/>
    <w:rsid w:val="00C341F9"/>
    <w:rsid w:val="00C47852"/>
    <w:rsid w:val="00C556AF"/>
    <w:rsid w:val="00C73495"/>
    <w:rsid w:val="00C93B25"/>
    <w:rsid w:val="00CF62DD"/>
    <w:rsid w:val="00D27632"/>
    <w:rsid w:val="00D9421A"/>
    <w:rsid w:val="00DA0EEA"/>
    <w:rsid w:val="00DA48A5"/>
    <w:rsid w:val="00DF46C3"/>
    <w:rsid w:val="00E31B71"/>
    <w:rsid w:val="00F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0DD30"/>
  <w14:defaultImageDpi w14:val="300"/>
  <w15:docId w15:val="{50A3C40B-9528-421D-8E09-CA3092A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0AFF-528C-4339-A591-E3D2824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1477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2021-02-25T20:55:00Z</cp:lastPrinted>
  <dcterms:created xsi:type="dcterms:W3CDTF">2018-02-01T22:06:00Z</dcterms:created>
  <dcterms:modified xsi:type="dcterms:W3CDTF">2024-04-04T21:28:00Z</dcterms:modified>
</cp:coreProperties>
</file>