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5EB2383" w:rsidR="00062C44" w:rsidRPr="00A94C21" w:rsidRDefault="00345314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ACCION RAPIDA</w:t>
      </w:r>
    </w:p>
    <w:p w14:paraId="5690495B" w14:textId="3E2F4916" w:rsidR="00062C44" w:rsidRPr="00B743FF" w:rsidRDefault="00345314" w:rsidP="006640B3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DESENGRASANTE BIODEGRADABLE LÍQUIDO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481A26EA" w:rsidR="00062C44" w:rsidRPr="00B743FF" w:rsidRDefault="00345314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16"/>
          <w:szCs w:val="16"/>
        </w:rPr>
      </w:pPr>
      <w:r>
        <w:rPr>
          <w:rFonts w:ascii="Open Sans" w:hAnsi="Open Sans" w:cs="Arial"/>
          <w:b/>
          <w:sz w:val="16"/>
          <w:szCs w:val="16"/>
        </w:rPr>
        <w:t>BAJA ESPUMA</w:t>
      </w:r>
    </w:p>
    <w:p w14:paraId="466D5D72" w14:textId="6A193905" w:rsidR="00970B2D" w:rsidRPr="00AF2140" w:rsidRDefault="00AF2243" w:rsidP="00062C44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16"/>
          <w:szCs w:val="16"/>
        </w:rPr>
      </w:pPr>
      <w:r w:rsidRPr="00B743FF">
        <w:rPr>
          <w:rFonts w:ascii="Open Sans" w:hAnsi="Open Sans" w:cs="Arial"/>
          <w:b/>
          <w:sz w:val="16"/>
          <w:szCs w:val="16"/>
        </w:rPr>
        <w:t>BIODEGRADABLE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8"/>
        <w:gridCol w:w="279"/>
        <w:gridCol w:w="331"/>
        <w:gridCol w:w="5047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DB273C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74BE0AC8" w:rsidR="005B2D87" w:rsidRPr="00F77E88" w:rsidRDefault="00345314" w:rsidP="005B2D8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ACCION RÁPIDA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producto desengrasante</w:t>
            </w:r>
            <w:r>
              <w:rPr>
                <w:rFonts w:ascii="Open Sans" w:hAnsi="Open Sans" w:cs="Arial"/>
                <w:lang w:val="es-MX"/>
              </w:rPr>
              <w:t xml:space="preserve"> diseñado </w:t>
            </w:r>
            <w:r w:rsidR="00F77E88">
              <w:rPr>
                <w:rFonts w:ascii="Open Sans" w:hAnsi="Open Sans" w:cs="Arial"/>
                <w:lang w:val="es-MX"/>
              </w:rPr>
              <w:t xml:space="preserve"> </w:t>
            </w:r>
            <w:r>
              <w:rPr>
                <w:rFonts w:ascii="Open Sans" w:hAnsi="Open Sans" w:cs="Arial"/>
                <w:lang w:val="es-MX"/>
              </w:rPr>
              <w:t>para la limpieza actual. Combina la eficiencia de los desengrasantes fuertes</w:t>
            </w:r>
            <w:r w:rsidR="005B2D87">
              <w:rPr>
                <w:rFonts w:ascii="Open Sans" w:hAnsi="Open Sans" w:cs="Arial"/>
                <w:lang w:val="es-MX"/>
              </w:rPr>
              <w:t xml:space="preserve"> en el pasado </w:t>
            </w:r>
            <w:r>
              <w:rPr>
                <w:rFonts w:ascii="Open Sans" w:hAnsi="Open Sans" w:cs="Arial"/>
                <w:lang w:val="es-MX"/>
              </w:rPr>
              <w:t xml:space="preserve"> con </w:t>
            </w:r>
            <w:r w:rsidR="005B2D87">
              <w:rPr>
                <w:rFonts w:ascii="Open Sans" w:hAnsi="Open Sans" w:cs="Arial"/>
                <w:lang w:val="es-MX"/>
              </w:rPr>
              <w:t>los surfactantes actuales.    Es biodegradable,   inofensivo al contacto con la piel,  no es corrosivo,   lo que lo convierte en un desengrasante muy seguro.    Genera muy poca espuma.</w:t>
            </w:r>
            <w:r w:rsidR="00AF2140">
              <w:rPr>
                <w:rFonts w:ascii="Open Sans" w:hAnsi="Open Sans" w:cs="Arial"/>
                <w:lang w:val="es-MX"/>
              </w:rPr>
              <w:t xml:space="preserve">  No contiene fosfatos, silicatos ni butilcellosolve.</w:t>
            </w:r>
          </w:p>
          <w:p w14:paraId="0559F429" w14:textId="5E380F8F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2904A80" w14:textId="6A6E67AC" w:rsidR="005B2D87" w:rsidRPr="00244088" w:rsidRDefault="005B2D87" w:rsidP="005B2D8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ACCION RÁPIDA  </w:t>
            </w:r>
            <w:r w:rsidRPr="00AF2140">
              <w:rPr>
                <w:rFonts w:ascii="Open Sans" w:hAnsi="Open Sans" w:cs="Arial"/>
                <w:lang w:val="es-MX"/>
              </w:rPr>
              <w:t>se recomienda usar a concentraciones entre 4 -8 onzas por galón de agua,  en limpiezas con suciedad normal.     En suciedades pes</w:t>
            </w:r>
            <w:r w:rsidR="00AF2140" w:rsidRPr="00AF2140">
              <w:rPr>
                <w:rFonts w:ascii="Open Sans" w:hAnsi="Open Sans" w:cs="Arial"/>
                <w:lang w:val="es-MX"/>
              </w:rPr>
              <w:t>adas se recomienda usar dosis má</w:t>
            </w:r>
            <w:r w:rsidRPr="00AF2140">
              <w:rPr>
                <w:rFonts w:ascii="Open Sans" w:hAnsi="Open Sans" w:cs="Arial"/>
                <w:lang w:val="es-MX"/>
              </w:rPr>
              <w:t>s altas</w:t>
            </w:r>
            <w:r w:rsidR="00AF2140" w:rsidRPr="00AF2140">
              <w:rPr>
                <w:rFonts w:ascii="Open Sans" w:hAnsi="Open Sans" w:cs="Arial"/>
                <w:lang w:val="es-MX"/>
              </w:rPr>
              <w:t xml:space="preserve"> de acuerdo a recomendación de un asesor técnico Cek. </w:t>
            </w:r>
          </w:p>
          <w:p w14:paraId="63C59155" w14:textId="24CB8B82" w:rsidR="00134048" w:rsidRPr="00244088" w:rsidRDefault="00AF214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El producto puede usarse en máquinas automáticas de lavado de pisos,    ya que no hace espuma y su acción es inmediata </w:t>
            </w:r>
          </w:p>
        </w:tc>
      </w:tr>
      <w:tr w:rsidR="00DA0EEA" w:rsidRPr="00DB273C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0486F941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0F16EA0F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5B2D87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DB273C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1933229C" w:rsidR="00062C44" w:rsidRPr="00A94C21" w:rsidRDefault="005B2D87" w:rsidP="005B2D8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5B2D87">
              <w:rPr>
                <w:rFonts w:ascii="Open Sans" w:hAnsi="Open Sans" w:cs="Arial"/>
                <w:b/>
                <w:lang w:val="es-MX"/>
              </w:rPr>
              <w:t>ACCION R</w:t>
            </w:r>
            <w:r>
              <w:rPr>
                <w:rFonts w:ascii="Open Sans" w:hAnsi="Open Sans" w:cs="Arial"/>
                <w:b/>
                <w:lang w:val="es-MX"/>
              </w:rPr>
              <w:t>ÁPIDA</w:t>
            </w:r>
            <w:r w:rsidR="00532219" w:rsidRPr="00532219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BF5633">
              <w:rPr>
                <w:rFonts w:ascii="Open Sans" w:hAnsi="Open Sans" w:cs="Arial"/>
                <w:lang w:val="es-MX"/>
              </w:rPr>
              <w:t xml:space="preserve">es </w:t>
            </w:r>
            <w:r w:rsidR="00532219">
              <w:rPr>
                <w:rFonts w:ascii="Open Sans" w:hAnsi="Open Sans" w:cs="Arial"/>
                <w:lang w:val="es-MX"/>
              </w:rPr>
              <w:t xml:space="preserve">un producto </w:t>
            </w:r>
            <w:r>
              <w:rPr>
                <w:rFonts w:ascii="Open Sans" w:hAnsi="Open Sans" w:cs="Arial"/>
                <w:lang w:val="es-MX"/>
              </w:rPr>
              <w:t>que puede usarse en todos aquellos lugares en donde se procesen o preparen alimentos,  plantas de alimentos, hoteles, servicios de alimentación,  restaurantes,  cafeterías,  y otros lugares relacionados.   Su alta concentración lo hace una alternativa económica y amigable con el medio ambiente</w:t>
            </w:r>
            <w:r w:rsidR="00AF2140">
              <w:rPr>
                <w:rFonts w:ascii="Open Sans" w:hAnsi="Open Sans" w:cs="Arial"/>
                <w:lang w:val="es-MX"/>
              </w:rPr>
              <w:t>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560636D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Producto peligroso si se ingiere.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DB273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56D67914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CD5ED77" wp14:editId="32A745A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145415</wp:posOffset>
                      </wp:positionV>
                      <wp:extent cx="998220" cy="986686"/>
                      <wp:effectExtent l="114300" t="114300" r="106680" b="1187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86686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D4C3C4D" w:rsidR="002453EA" w:rsidRPr="005919DB" w:rsidRDefault="00345314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2453EA" w:rsidRPr="002E00DC" w:rsidRDefault="002453EA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2453EA" w:rsidRPr="005919DB" w:rsidRDefault="002453E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95pt;margin-top:11.45pt;width:78.6pt;height:77.7pt;z-index:25165824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D4C3C4D" w:rsidR="002453EA" w:rsidRPr="005919DB" w:rsidRDefault="00345314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2453EA" w:rsidRPr="002E00DC" w:rsidRDefault="002453EA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2453EA" w:rsidRPr="005919DB" w:rsidRDefault="002453E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345314" w14:paraId="3D24C18C" w14:textId="77777777" w:rsidTr="00970B2D">
        <w:tc>
          <w:tcPr>
            <w:tcW w:w="5048" w:type="dxa"/>
            <w:gridSpan w:val="2"/>
          </w:tcPr>
          <w:p w14:paraId="376F2820" w14:textId="35E11588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</w:tblGrid>
            <w:tr w:rsidR="007461C7" w:rsidRPr="0034531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BF5633">
                    <w:rPr>
                      <w:rFonts w:ascii="Open Sans" w:hAnsi="Open Sans" w:cs="Arial"/>
                    </w:rPr>
                    <w:t>Líquido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0E3D451D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9B03E6">
                    <w:rPr>
                      <w:rFonts w:ascii="Open Sans" w:hAnsi="Open Sans" w:cs="Arial"/>
                    </w:rPr>
                    <w:t>Ligeramente blanco</w:t>
                  </w:r>
                </w:p>
                <w:p w14:paraId="6276DA83" w14:textId="5FE780F2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06242B">
                    <w:rPr>
                      <w:rFonts w:ascii="Open Sans" w:hAnsi="Open Sans" w:cs="Arial"/>
                    </w:rPr>
                    <w:t>1</w:t>
                  </w:r>
                  <w:r w:rsidR="00125B0F">
                    <w:rPr>
                      <w:rFonts w:ascii="Open Sans" w:hAnsi="Open Sans" w:cs="Arial"/>
                    </w:rPr>
                    <w:t>2.0</w:t>
                  </w:r>
                  <w:r w:rsidR="0006242B">
                    <w:rPr>
                      <w:rFonts w:ascii="Open Sans" w:hAnsi="Open Sans" w:cs="Arial"/>
                    </w:rPr>
                    <w:t xml:space="preserve"> – 13.5</w:t>
                  </w:r>
                </w:p>
                <w:p w14:paraId="20A0AC84" w14:textId="6DD04628" w:rsidR="00BF5633" w:rsidRPr="007461C7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2B1CE5">
                    <w:rPr>
                      <w:rFonts w:ascii="Open Sans" w:hAnsi="Open Sans" w:cs="Arial"/>
                      <w:b/>
                    </w:rPr>
                    <w:t xml:space="preserve">: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2B1CE5">
                    <w:rPr>
                      <w:rFonts w:ascii="Open Sans" w:hAnsi="Open Sans" w:cs="Arial"/>
                    </w:rPr>
                    <w:t>característico</w:t>
                  </w:r>
                </w:p>
                <w:p w14:paraId="7DD39698" w14:textId="2646C6F4" w:rsidR="007461C7" w:rsidRPr="00125B0F" w:rsidRDefault="007461C7" w:rsidP="00125B0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06242B">
                    <w:rPr>
                      <w:rFonts w:ascii="Open Sans" w:hAnsi="Open Sans" w:cs="Arial"/>
                    </w:rPr>
                    <w:t>1.</w:t>
                  </w:r>
                  <w:r w:rsidR="00125B0F">
                    <w:rPr>
                      <w:rFonts w:ascii="Open Sans" w:hAnsi="Open Sans" w:cs="Arial"/>
                    </w:rPr>
                    <w:t>005</w:t>
                  </w:r>
                  <w:r w:rsidR="00996CB5" w:rsidRPr="00125B0F">
                    <w:rPr>
                      <w:rFonts w:ascii="Open Sans" w:hAnsi="Open Sans" w:cs="Arial"/>
                    </w:rPr>
                    <w:t xml:space="preserve"> – 1.</w:t>
                  </w:r>
                  <w:r w:rsidR="00125B0F">
                    <w:rPr>
                      <w:rFonts w:ascii="Open Sans" w:hAnsi="Open Sans" w:cs="Arial"/>
                    </w:rPr>
                    <w:t>030</w:t>
                  </w:r>
                </w:p>
                <w:p w14:paraId="5D066AF3" w14:textId="77777777" w:rsidR="00996CB5" w:rsidRDefault="00BF5633" w:rsidP="00AF214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</w:p>
                <w:p w14:paraId="66D93C55" w14:textId="77777777" w:rsidR="00DC7E57" w:rsidRDefault="00DC7E57" w:rsidP="00DC7E57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25FB79DD" w14:textId="77777777" w:rsidR="00DC7E57" w:rsidRDefault="00DC7E57" w:rsidP="00DC7E57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0A4E307F" w14:textId="77777777" w:rsidR="00DC7E57" w:rsidRDefault="00DC7E57" w:rsidP="00DC7E57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  <w:p w14:paraId="3405109E" w14:textId="51047FFA" w:rsidR="00DC7E57" w:rsidRPr="00DC7E57" w:rsidRDefault="00DC7E57" w:rsidP="00DC7E57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4E8AFDAE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0FF938DE" w:rsidR="004B48E0" w:rsidRPr="00A94C2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A61570">
              <w:rPr>
                <w:rFonts w:ascii="Open Sans" w:hAnsi="Open Sans"/>
                <w:lang w:val="es-MX"/>
              </w:rPr>
              <w:t xml:space="preserve">Rica: </w:t>
            </w:r>
            <w:r w:rsidR="00345314">
              <w:rPr>
                <w:rFonts w:ascii="Open Sans" w:hAnsi="Open Sans"/>
                <w:lang w:val="es-MX"/>
              </w:rPr>
              <w:t>M.S:  Q-2397-9</w:t>
            </w:r>
            <w:r w:rsidR="00BF5633">
              <w:rPr>
                <w:rFonts w:ascii="Open Sans" w:hAnsi="Open Sans"/>
                <w:lang w:val="es-MX"/>
              </w:rPr>
              <w:t xml:space="preserve"> </w:t>
            </w:r>
            <w:r w:rsidR="00345314">
              <w:rPr>
                <w:rFonts w:ascii="Open Sans" w:hAnsi="Open Sans"/>
                <w:lang w:val="es-MX"/>
              </w:rPr>
              <w:t xml:space="preserve">  MAG: 1167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014ABAC2" w14:textId="3EB827E1" w:rsidR="004B48E0" w:rsidRPr="00A94C21" w:rsidRDefault="00E1560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77612C" w:rsidRPr="0077612C">
              <w:rPr>
                <w:rFonts w:ascii="Open Sans" w:hAnsi="Open Sans"/>
                <w:lang w:val="es-MX"/>
              </w:rPr>
              <w:t>1EH02080623</w:t>
            </w:r>
          </w:p>
          <w:p w14:paraId="0336C020" w14:textId="63FA925B" w:rsidR="004B48E0" w:rsidRPr="00345314" w:rsidRDefault="00345314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Guatemala: PH-5982</w:t>
            </w:r>
          </w:p>
          <w:p w14:paraId="6E914996" w14:textId="2B88BA0A" w:rsidR="00ED390F" w:rsidRDefault="00A61570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Honduras: </w:t>
            </w:r>
            <w:r w:rsidR="00345314">
              <w:rPr>
                <w:rFonts w:ascii="Open Sans" w:hAnsi="Open Sans"/>
                <w:lang w:val="es-MX"/>
              </w:rPr>
              <w:t>S.</w:t>
            </w:r>
            <w:r w:rsidR="009B03E6">
              <w:rPr>
                <w:rFonts w:ascii="Open Sans" w:hAnsi="Open Sans"/>
                <w:lang w:val="es-MX"/>
              </w:rPr>
              <w:t xml:space="preserve"> </w:t>
            </w:r>
            <w:r w:rsidR="00345314">
              <w:rPr>
                <w:rFonts w:ascii="Open Sans" w:hAnsi="Open Sans"/>
                <w:lang w:val="es-MX"/>
              </w:rPr>
              <w:t xml:space="preserve">Salud: </w:t>
            </w:r>
            <w:r w:rsidR="008A1444" w:rsidRPr="008A1444">
              <w:rPr>
                <w:rFonts w:ascii="Open Sans" w:hAnsi="Open Sans"/>
                <w:lang w:val="es-MX"/>
              </w:rPr>
              <w:t>HN-H-0322-0020</w:t>
            </w:r>
          </w:p>
          <w:p w14:paraId="6C1086E4" w14:textId="77CB93FB" w:rsidR="00345314" w:rsidRDefault="00345314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Panamá:</w:t>
            </w:r>
            <w:r w:rsidR="009B03E6">
              <w:rPr>
                <w:rFonts w:ascii="Open Sans" w:hAnsi="Open Sans"/>
                <w:lang w:val="es-MX"/>
              </w:rPr>
              <w:t xml:space="preserve"> </w:t>
            </w:r>
            <w:r>
              <w:rPr>
                <w:rFonts w:ascii="Open Sans" w:hAnsi="Open Sans"/>
                <w:lang w:val="es-MX"/>
              </w:rPr>
              <w:t xml:space="preserve">DEPA: </w:t>
            </w:r>
            <w:r w:rsidR="009B473A" w:rsidRPr="009B473A">
              <w:rPr>
                <w:rFonts w:ascii="Open Sans" w:hAnsi="Open Sans"/>
                <w:lang w:val="es-MX"/>
              </w:rPr>
              <w:t>58072</w:t>
            </w:r>
          </w:p>
          <w:p w14:paraId="66754D56" w14:textId="7D1E0C86" w:rsidR="00062C44" w:rsidRPr="00ED390F" w:rsidRDefault="00181DDF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38DE75F4" wp14:editId="38FD092C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281305</wp:posOffset>
                  </wp:positionV>
                  <wp:extent cx="1325930" cy="1247775"/>
                  <wp:effectExtent l="0" t="0" r="7620" b="0"/>
                  <wp:wrapNone/>
                  <wp:docPr id="1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tipo&#10;&#10;Descripción generada automá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93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  <w:tr w:rsidR="00345314" w:rsidRPr="00345314" w14:paraId="1EB51DDF" w14:textId="77777777" w:rsidTr="00970B2D">
        <w:tc>
          <w:tcPr>
            <w:tcW w:w="5048" w:type="dxa"/>
            <w:gridSpan w:val="2"/>
          </w:tcPr>
          <w:p w14:paraId="1F25D69E" w14:textId="6EA66257" w:rsidR="00345314" w:rsidRDefault="00345314"/>
        </w:tc>
        <w:tc>
          <w:tcPr>
            <w:tcW w:w="279" w:type="dxa"/>
          </w:tcPr>
          <w:p w14:paraId="09A736C8" w14:textId="77777777" w:rsidR="00345314" w:rsidRPr="00A94C21" w:rsidRDefault="0034531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6EED3FCA" w14:textId="77777777" w:rsidR="00345314" w:rsidRPr="00A94C21" w:rsidRDefault="00345314" w:rsidP="004B48E0">
            <w:pPr>
              <w:rPr>
                <w:rFonts w:ascii="Open Sans" w:hAnsi="Open Sans"/>
                <w:b/>
                <w:bCs/>
                <w:lang w:val="es-MX"/>
              </w:rPr>
            </w:pPr>
          </w:p>
        </w:tc>
      </w:tr>
    </w:tbl>
    <w:p w14:paraId="4621F884" w14:textId="77777777" w:rsidR="00062C44" w:rsidRPr="00A61570" w:rsidRDefault="00062C44" w:rsidP="00C82E55">
      <w:pPr>
        <w:tabs>
          <w:tab w:val="left" w:pos="0"/>
        </w:tabs>
        <w:jc w:val="right"/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3D4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134" w:header="284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1240" w14:textId="77777777" w:rsidR="003D4E29" w:rsidRDefault="003D4E29" w:rsidP="00F367F8">
      <w:r>
        <w:separator/>
      </w:r>
    </w:p>
  </w:endnote>
  <w:endnote w:type="continuationSeparator" w:id="0">
    <w:p w14:paraId="539CCC1E" w14:textId="77777777" w:rsidR="003D4E29" w:rsidRDefault="003D4E29" w:rsidP="00F3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BA5A" w14:textId="77777777" w:rsidR="00C932AC" w:rsidRDefault="00C93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B5B9" w14:textId="49151D93" w:rsidR="00F367F8" w:rsidRDefault="00F367F8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C6598" wp14:editId="65DD1799">
              <wp:simplePos x="0" y="0"/>
              <wp:positionH relativeFrom="column">
                <wp:posOffset>4366260</wp:posOffset>
              </wp:positionH>
              <wp:positionV relativeFrom="paragraph">
                <wp:posOffset>-1111250</wp:posOffset>
              </wp:positionV>
              <wp:extent cx="2251075" cy="10668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45"/>
                            <w:gridCol w:w="1217"/>
                          </w:tblGrid>
                          <w:tr w:rsidR="00F367F8" w14:paraId="6CC4DA4A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3C7A2FF" w14:textId="77777777" w:rsidR="00F367F8" w:rsidRPr="002802F7" w:rsidRDefault="00F367F8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ACCION RÁPIDA</w:t>
                                </w:r>
                              </w:p>
                            </w:tc>
                          </w:tr>
                          <w:tr w:rsidR="00F367F8" w14:paraId="7F6533EC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6F737ED" w14:textId="77777777" w:rsidR="00F367F8" w:rsidRPr="002802F7" w:rsidRDefault="00F367F8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9606D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CEKFT-006</w:t>
                                </w:r>
                              </w:p>
                            </w:tc>
                          </w:tr>
                          <w:tr w:rsidR="00F367F8" w14:paraId="06B57B69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6885EE60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516CCA3" w14:textId="0205B743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C932A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-0</w:t>
                                </w:r>
                                <w:r w:rsidR="00E2543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F53B3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F367F8" w14:paraId="2986ECED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B4C17B9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1371755" w14:textId="03CF8FA4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E2543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Ene2</w:t>
                                </w:r>
                                <w:r w:rsidR="00F53B3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F367F8" w14:paraId="1A3BA73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83BF9CB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FEAB556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14Dic12</w:t>
                                </w:r>
                              </w:p>
                            </w:tc>
                          </w:tr>
                          <w:tr w:rsidR="00F367F8" w14:paraId="4DCE197A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D8AD64C" w14:textId="77777777" w:rsidR="00F367F8" w:rsidRPr="002802F7" w:rsidRDefault="00F367F8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24C2256" w14:textId="77777777" w:rsidR="00F367F8" w:rsidRPr="002802F7" w:rsidRDefault="00F367F8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6B44E29" w14:textId="77777777" w:rsidR="00F367F8" w:rsidRPr="005D5251" w:rsidRDefault="00F367F8" w:rsidP="00F367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C65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3.8pt;margin-top:-87.5pt;width:177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Wj4QEAAKIDAAAOAAAAZHJzL2Uyb0RvYy54bWysU9tu2zAMfR+wfxD0vtgOkrQz4hRdiw4D&#10;ugvQ7QNkWbKF2aJGKbGzrx8lp2m2vQ17ESSSPjznkN7eTEPPDgq9AVvxYpFzpqyExti24t++Pry5&#10;5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45"/>
                      <w:gridCol w:w="1217"/>
                    </w:tblGrid>
                    <w:tr w:rsidR="00F367F8" w14:paraId="6CC4DA4A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3C7A2FF" w14:textId="77777777" w:rsidR="00F367F8" w:rsidRPr="002802F7" w:rsidRDefault="00F367F8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ACCION RÁPIDA</w:t>
                          </w:r>
                        </w:p>
                      </w:tc>
                    </w:tr>
                    <w:tr w:rsidR="00F367F8" w14:paraId="7F6533EC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6F737ED" w14:textId="77777777" w:rsidR="00F367F8" w:rsidRPr="002802F7" w:rsidRDefault="00F367F8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9606D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CEKFT-006</w:t>
                          </w:r>
                        </w:p>
                      </w:tc>
                    </w:tr>
                    <w:tr w:rsidR="00F367F8" w14:paraId="06B57B69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6885EE60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516CCA3" w14:textId="0205B743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</w:t>
                          </w:r>
                          <w:r w:rsidR="00C932A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-0</w:t>
                          </w:r>
                          <w:r w:rsidR="00E2543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F53B3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F367F8" w14:paraId="2986ECED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B4C17B9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1371755" w14:textId="03CF8FA4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E2543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Ene2</w:t>
                          </w:r>
                          <w:r w:rsidR="00F53B3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</w:tr>
                    <w:tr w:rsidR="00F367F8" w14:paraId="1A3BA73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83BF9CB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FEAB556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14Dic12</w:t>
                          </w:r>
                        </w:p>
                      </w:tc>
                    </w:tr>
                    <w:tr w:rsidR="00F367F8" w14:paraId="4DCE197A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D8AD64C" w14:textId="77777777" w:rsidR="00F367F8" w:rsidRPr="002802F7" w:rsidRDefault="00F367F8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4C2256" w14:textId="77777777" w:rsidR="00F367F8" w:rsidRPr="002802F7" w:rsidRDefault="00F367F8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6B44E29" w14:textId="77777777" w:rsidR="00F367F8" w:rsidRPr="005D5251" w:rsidRDefault="00F367F8" w:rsidP="00F367F8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4CB8C340" wp14:editId="09AB7DB5">
          <wp:extent cx="6661150" cy="319430"/>
          <wp:effectExtent l="0" t="0" r="6350" b="4445"/>
          <wp:docPr id="3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F609" w14:textId="77777777" w:rsidR="00C932AC" w:rsidRDefault="00C93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7C0F" w14:textId="77777777" w:rsidR="003D4E29" w:rsidRDefault="003D4E29" w:rsidP="00F367F8">
      <w:r>
        <w:separator/>
      </w:r>
    </w:p>
  </w:footnote>
  <w:footnote w:type="continuationSeparator" w:id="0">
    <w:p w14:paraId="4080FD5D" w14:textId="77777777" w:rsidR="003D4E29" w:rsidRDefault="003D4E29" w:rsidP="00F3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A254" w14:textId="77777777" w:rsidR="00C932AC" w:rsidRDefault="00C932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ACE0" w14:textId="1AD5679A" w:rsidR="00F367F8" w:rsidRDefault="00F367F8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07F4441C" wp14:editId="61E3A8BD">
          <wp:simplePos x="0" y="0"/>
          <wp:positionH relativeFrom="column">
            <wp:posOffset>-179049</wp:posOffset>
          </wp:positionH>
          <wp:positionV relativeFrom="paragraph">
            <wp:posOffset>635</wp:posOffset>
          </wp:positionV>
          <wp:extent cx="6661150" cy="1027677"/>
          <wp:effectExtent l="0" t="0" r="6350" b="1270"/>
          <wp:wrapThrough wrapText="bothSides">
            <wp:wrapPolygon edited="0">
              <wp:start x="0" y="0"/>
              <wp:lineTo x="0" y="21226"/>
              <wp:lineTo x="21559" y="21226"/>
              <wp:lineTo x="21559" y="0"/>
              <wp:lineTo x="0" y="0"/>
            </wp:wrapPolygon>
          </wp:wrapThrough>
          <wp:docPr id="2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027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1DE1" w14:textId="77777777" w:rsidR="00C932AC" w:rsidRDefault="00C93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42246281">
    <w:abstractNumId w:val="1"/>
  </w:num>
  <w:num w:numId="2" w16cid:durableId="733744376">
    <w:abstractNumId w:val="2"/>
  </w:num>
  <w:num w:numId="3" w16cid:durableId="4863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6" w:nlCheck="1" w:checkStyle="0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GBfN2fNB8+/KETkLh67YxQzOHKyMALWx2WdXbfP0mJcmdD+6DLqN2F7s9b/WDfwc1vCSEamcLjHB6YURpW0w==" w:salt="c7KEEZiqGGpm7Z+abUoAu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A5"/>
    <w:rsid w:val="000119E3"/>
    <w:rsid w:val="0002659E"/>
    <w:rsid w:val="00044963"/>
    <w:rsid w:val="0006242B"/>
    <w:rsid w:val="00062C44"/>
    <w:rsid w:val="000B5C06"/>
    <w:rsid w:val="000F69A0"/>
    <w:rsid w:val="00125B0F"/>
    <w:rsid w:val="00134048"/>
    <w:rsid w:val="0014089E"/>
    <w:rsid w:val="00155F50"/>
    <w:rsid w:val="00181DDF"/>
    <w:rsid w:val="0018413D"/>
    <w:rsid w:val="001C2B45"/>
    <w:rsid w:val="001C4E5A"/>
    <w:rsid w:val="001D6151"/>
    <w:rsid w:val="001E5651"/>
    <w:rsid w:val="00234E12"/>
    <w:rsid w:val="00244088"/>
    <w:rsid w:val="002453EA"/>
    <w:rsid w:val="00247008"/>
    <w:rsid w:val="00262822"/>
    <w:rsid w:val="002878D1"/>
    <w:rsid w:val="002B1CE5"/>
    <w:rsid w:val="002E00DC"/>
    <w:rsid w:val="002E6E5C"/>
    <w:rsid w:val="00345314"/>
    <w:rsid w:val="003A589E"/>
    <w:rsid w:val="003B2707"/>
    <w:rsid w:val="003B6754"/>
    <w:rsid w:val="003D4E29"/>
    <w:rsid w:val="00415D16"/>
    <w:rsid w:val="00421DCF"/>
    <w:rsid w:val="004445B3"/>
    <w:rsid w:val="004B48E0"/>
    <w:rsid w:val="00505CB9"/>
    <w:rsid w:val="00532219"/>
    <w:rsid w:val="00543F84"/>
    <w:rsid w:val="00550FC3"/>
    <w:rsid w:val="005B2D87"/>
    <w:rsid w:val="005B7052"/>
    <w:rsid w:val="005D6D8B"/>
    <w:rsid w:val="005D760A"/>
    <w:rsid w:val="00613556"/>
    <w:rsid w:val="00640A07"/>
    <w:rsid w:val="006640B3"/>
    <w:rsid w:val="0066721C"/>
    <w:rsid w:val="006738C5"/>
    <w:rsid w:val="006929EE"/>
    <w:rsid w:val="006A33FE"/>
    <w:rsid w:val="006C05FE"/>
    <w:rsid w:val="007219FE"/>
    <w:rsid w:val="007461C7"/>
    <w:rsid w:val="0077612C"/>
    <w:rsid w:val="00803D02"/>
    <w:rsid w:val="00812D51"/>
    <w:rsid w:val="0081540A"/>
    <w:rsid w:val="00816AA2"/>
    <w:rsid w:val="00850C1C"/>
    <w:rsid w:val="008805A0"/>
    <w:rsid w:val="008A1444"/>
    <w:rsid w:val="009333F9"/>
    <w:rsid w:val="00970B2D"/>
    <w:rsid w:val="00996CB5"/>
    <w:rsid w:val="009B03E6"/>
    <w:rsid w:val="009B473A"/>
    <w:rsid w:val="009C0583"/>
    <w:rsid w:val="009D2E78"/>
    <w:rsid w:val="009F657C"/>
    <w:rsid w:val="00A23249"/>
    <w:rsid w:val="00A33FB2"/>
    <w:rsid w:val="00A61570"/>
    <w:rsid w:val="00A94C21"/>
    <w:rsid w:val="00AF2140"/>
    <w:rsid w:val="00AF2243"/>
    <w:rsid w:val="00B27C99"/>
    <w:rsid w:val="00B55982"/>
    <w:rsid w:val="00B743FF"/>
    <w:rsid w:val="00B90BFB"/>
    <w:rsid w:val="00BF5633"/>
    <w:rsid w:val="00C556AF"/>
    <w:rsid w:val="00C82E55"/>
    <w:rsid w:val="00C932AC"/>
    <w:rsid w:val="00CB61E6"/>
    <w:rsid w:val="00CE7898"/>
    <w:rsid w:val="00CF62DD"/>
    <w:rsid w:val="00D30C10"/>
    <w:rsid w:val="00D705DE"/>
    <w:rsid w:val="00D7436F"/>
    <w:rsid w:val="00D9421A"/>
    <w:rsid w:val="00DA0EEA"/>
    <w:rsid w:val="00DA48A5"/>
    <w:rsid w:val="00DB1972"/>
    <w:rsid w:val="00DB273C"/>
    <w:rsid w:val="00DC7E57"/>
    <w:rsid w:val="00DD0C39"/>
    <w:rsid w:val="00E15605"/>
    <w:rsid w:val="00E17760"/>
    <w:rsid w:val="00E25433"/>
    <w:rsid w:val="00E31B71"/>
    <w:rsid w:val="00E3200F"/>
    <w:rsid w:val="00E37582"/>
    <w:rsid w:val="00EA326E"/>
    <w:rsid w:val="00ED390F"/>
    <w:rsid w:val="00F367F8"/>
    <w:rsid w:val="00F510CB"/>
    <w:rsid w:val="00F53B3F"/>
    <w:rsid w:val="00F77E88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50309258-342A-43B4-9031-C53A0501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36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7F8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36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7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D23B-D8BF-428C-AF28-6A8DB89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1516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2020-04-21T12:46:00Z</cp:lastPrinted>
  <dcterms:created xsi:type="dcterms:W3CDTF">2023-12-13T20:58:00Z</dcterms:created>
  <dcterms:modified xsi:type="dcterms:W3CDTF">2024-12-04T16:46:00Z</dcterms:modified>
</cp:coreProperties>
</file>